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1AFFF" w14:textId="77777777" w:rsidR="00AF31A3" w:rsidRDefault="00AF31A3">
      <w:pPr>
        <w:widowControl w:val="0"/>
        <w:pBdr>
          <w:top w:val="nil"/>
          <w:left w:val="nil"/>
          <w:bottom w:val="nil"/>
          <w:right w:val="nil"/>
          <w:between w:val="nil"/>
        </w:pBdr>
        <w:spacing w:after="0" w:line="276" w:lineRule="auto"/>
      </w:pPr>
    </w:p>
    <w:p w14:paraId="35597B17" w14:textId="77777777" w:rsidR="00AF31A3" w:rsidRDefault="00000000" w:rsidP="005401E2">
      <w:pPr>
        <w:spacing w:after="0" w:line="240" w:lineRule="auto"/>
        <w:jc w:val="center"/>
        <w:rPr>
          <w:b/>
          <w:sz w:val="30"/>
          <w:szCs w:val="30"/>
        </w:rPr>
      </w:pPr>
      <w:r>
        <w:rPr>
          <w:b/>
          <w:sz w:val="30"/>
          <w:szCs w:val="30"/>
        </w:rPr>
        <w:t>Technické normy si nyní můžete koupit online a v elektronické podobě. Česká agentura pro standardizaci spouští nový e-shop</w:t>
      </w:r>
    </w:p>
    <w:p w14:paraId="44D3F6B3" w14:textId="77777777" w:rsidR="00AF31A3" w:rsidRDefault="00AF31A3">
      <w:pPr>
        <w:spacing w:after="0" w:line="240" w:lineRule="auto"/>
        <w:rPr>
          <w:b/>
          <w:sz w:val="22"/>
        </w:rPr>
      </w:pPr>
    </w:p>
    <w:p w14:paraId="12AC0699" w14:textId="5BD147CC" w:rsidR="00AF31A3" w:rsidRDefault="00000000" w:rsidP="005401E2">
      <w:pPr>
        <w:numPr>
          <w:ilvl w:val="0"/>
          <w:numId w:val="1"/>
        </w:numPr>
        <w:pBdr>
          <w:top w:val="nil"/>
          <w:left w:val="nil"/>
          <w:bottom w:val="nil"/>
          <w:right w:val="nil"/>
          <w:between w:val="nil"/>
        </w:pBdr>
        <w:spacing w:before="80" w:after="0" w:line="288" w:lineRule="auto"/>
        <w:ind w:left="426" w:hanging="426"/>
        <w:jc w:val="both"/>
        <w:rPr>
          <w:b/>
          <w:i/>
          <w:color w:val="000000"/>
        </w:rPr>
      </w:pPr>
      <w:r>
        <w:rPr>
          <w:b/>
          <w:i/>
          <w:color w:val="000000"/>
        </w:rPr>
        <w:t>Přístup k normám ČSN a TNI bude nyní snazší. Bude možné si koupit i jednotlivé normy v</w:t>
      </w:r>
      <w:r w:rsidR="005401E2">
        <w:rPr>
          <w:b/>
          <w:i/>
          <w:color w:val="000000"/>
        </w:rPr>
        <w:t> </w:t>
      </w:r>
      <w:r>
        <w:rPr>
          <w:b/>
          <w:i/>
          <w:color w:val="000000"/>
        </w:rPr>
        <w:t>elektronické i fyzické podobě.</w:t>
      </w:r>
    </w:p>
    <w:p w14:paraId="6C85DFB1" w14:textId="77777777" w:rsidR="00AF31A3" w:rsidRDefault="00000000" w:rsidP="005401E2">
      <w:pPr>
        <w:numPr>
          <w:ilvl w:val="0"/>
          <w:numId w:val="1"/>
        </w:numPr>
        <w:pBdr>
          <w:top w:val="nil"/>
          <w:left w:val="nil"/>
          <w:bottom w:val="nil"/>
          <w:right w:val="nil"/>
          <w:between w:val="nil"/>
        </w:pBdr>
        <w:spacing w:before="80" w:after="0" w:line="288" w:lineRule="auto"/>
        <w:ind w:left="426" w:hanging="426"/>
        <w:jc w:val="both"/>
        <w:rPr>
          <w:b/>
          <w:i/>
          <w:color w:val="000000"/>
        </w:rPr>
      </w:pPr>
      <w:r>
        <w:rPr>
          <w:b/>
          <w:i/>
          <w:color w:val="000000"/>
        </w:rPr>
        <w:t>Nový e-shop České agentury pro standardizaci nabídne více než 70 tisíc dokumentů. Kromě všech aktuálně platných technických norem také výběr těch již neplatných.</w:t>
      </w:r>
    </w:p>
    <w:p w14:paraId="66E36769" w14:textId="44A58DDD" w:rsidR="00AF31A3" w:rsidRDefault="00000000" w:rsidP="005401E2">
      <w:pPr>
        <w:numPr>
          <w:ilvl w:val="0"/>
          <w:numId w:val="1"/>
        </w:numPr>
        <w:pBdr>
          <w:top w:val="nil"/>
          <w:left w:val="nil"/>
          <w:bottom w:val="nil"/>
          <w:right w:val="nil"/>
          <w:between w:val="nil"/>
        </w:pBdr>
        <w:spacing w:before="80" w:after="0" w:line="288" w:lineRule="auto"/>
        <w:ind w:left="426" w:hanging="426"/>
        <w:jc w:val="both"/>
        <w:rPr>
          <w:b/>
          <w:i/>
          <w:color w:val="000000"/>
        </w:rPr>
      </w:pPr>
      <w:r>
        <w:rPr>
          <w:b/>
          <w:i/>
          <w:color w:val="000000"/>
        </w:rPr>
        <w:t>Kromě norem nabídne e-shop i odborné publikace vydávané Agenturou ČAS nebo ve spolupráci s</w:t>
      </w:r>
      <w:r w:rsidR="005401E2">
        <w:rPr>
          <w:b/>
          <w:i/>
          <w:color w:val="000000"/>
        </w:rPr>
        <w:t> </w:t>
      </w:r>
      <w:r>
        <w:rPr>
          <w:b/>
          <w:i/>
          <w:color w:val="000000"/>
        </w:rPr>
        <w:t>jinými vydavateli.</w:t>
      </w:r>
    </w:p>
    <w:p w14:paraId="3D030661" w14:textId="77777777" w:rsidR="00AF31A3" w:rsidRDefault="00000000" w:rsidP="005401E2">
      <w:pPr>
        <w:numPr>
          <w:ilvl w:val="0"/>
          <w:numId w:val="1"/>
        </w:numPr>
        <w:pBdr>
          <w:top w:val="nil"/>
          <w:left w:val="nil"/>
          <w:bottom w:val="nil"/>
          <w:right w:val="nil"/>
          <w:between w:val="nil"/>
        </w:pBdr>
        <w:spacing w:before="80" w:after="0" w:line="288" w:lineRule="auto"/>
        <w:ind w:left="426" w:hanging="426"/>
        <w:jc w:val="both"/>
        <w:rPr>
          <w:b/>
          <w:i/>
          <w:color w:val="000000"/>
        </w:rPr>
      </w:pPr>
      <w:r>
        <w:rPr>
          <w:b/>
          <w:i/>
          <w:color w:val="000000"/>
        </w:rPr>
        <w:t>Nalézt příslušnou normu bude snadné – k dispozici je vyhledávání podle označení nebo názvu normy, ale také detailní vyhledávání podle modelu používaného v bibliografické databázi Seznam ČSN nebo v ČSN online.</w:t>
      </w:r>
    </w:p>
    <w:p w14:paraId="38188BE8" w14:textId="77777777" w:rsidR="00AF31A3" w:rsidRDefault="00000000" w:rsidP="005401E2">
      <w:pPr>
        <w:numPr>
          <w:ilvl w:val="0"/>
          <w:numId w:val="1"/>
        </w:numPr>
        <w:pBdr>
          <w:top w:val="nil"/>
          <w:left w:val="nil"/>
          <w:bottom w:val="nil"/>
          <w:right w:val="nil"/>
          <w:between w:val="nil"/>
        </w:pBdr>
        <w:spacing w:before="80" w:after="0" w:line="288" w:lineRule="auto"/>
        <w:ind w:left="426" w:hanging="426"/>
        <w:jc w:val="both"/>
        <w:rPr>
          <w:b/>
          <w:i/>
          <w:color w:val="000000"/>
        </w:rPr>
      </w:pPr>
      <w:r>
        <w:rPr>
          <w:b/>
          <w:i/>
          <w:color w:val="000000"/>
        </w:rPr>
        <w:t>I nadále bude možné koupit si normy a publikace osobně v Zákaznickém centru České agentury pro standardizaci. To se od 1. února 2023 vrací na adresu Biskupský dvůr 5/1148. Praha 1.</w:t>
      </w:r>
    </w:p>
    <w:p w14:paraId="20BC26DD" w14:textId="77777777" w:rsidR="00AF31A3" w:rsidRDefault="00000000">
      <w:pPr>
        <w:pBdr>
          <w:top w:val="nil"/>
          <w:left w:val="nil"/>
          <w:bottom w:val="nil"/>
          <w:right w:val="nil"/>
          <w:between w:val="nil"/>
        </w:pBdr>
        <w:spacing w:before="280" w:after="280" w:line="240" w:lineRule="auto"/>
        <w:jc w:val="both"/>
        <w:rPr>
          <w:color w:val="000000"/>
          <w:sz w:val="22"/>
        </w:rPr>
      </w:pPr>
      <w:r>
        <w:rPr>
          <w:b/>
          <w:i/>
          <w:color w:val="000000"/>
          <w:sz w:val="22"/>
        </w:rPr>
        <w:t xml:space="preserve">Praha, 1. prosince 2022 – </w:t>
      </w:r>
      <w:r>
        <w:rPr>
          <w:color w:val="000000"/>
          <w:sz w:val="22"/>
        </w:rPr>
        <w:t xml:space="preserve">Česká agentura pro standardizaci spustila zcela nový </w:t>
      </w:r>
      <w:hyperlink r:id="rId8">
        <w:r>
          <w:rPr>
            <w:b/>
            <w:color w:val="21BDCB"/>
            <w:sz w:val="22"/>
          </w:rPr>
          <w:t>e-shop</w:t>
        </w:r>
      </w:hyperlink>
      <w:r>
        <w:rPr>
          <w:color w:val="000000"/>
          <w:sz w:val="22"/>
        </w:rPr>
        <w:t xml:space="preserve">, který je dostupný na adrese </w:t>
      </w:r>
      <w:hyperlink r:id="rId9">
        <w:r>
          <w:rPr>
            <w:b/>
            <w:color w:val="21BDCB"/>
            <w:sz w:val="22"/>
          </w:rPr>
          <w:t>eshop.agentura-cas.cz</w:t>
        </w:r>
      </w:hyperlink>
      <w:r>
        <w:rPr>
          <w:color w:val="000000"/>
          <w:sz w:val="22"/>
        </w:rPr>
        <w:t xml:space="preserve">. Tímto krokem se rozhodla výrazně usnadnit všem zájemcům přístup k technickým normám ČSN i TNI. Každý, kdo normu potřebuje ke své práci nebo se o ni zajímá z jiného důvodu, ji může mít během pár minut. Nový e-shop Agentury ČAS totiž umožňuje – vůbec poprvé – zakoupit si jen jednu vybranou normu, a to i v elektronické podobě. Možnost pořídit si vybrané normy v </w:t>
      </w:r>
      <w:r>
        <w:rPr>
          <w:sz w:val="22"/>
        </w:rPr>
        <w:t>tištěné</w:t>
      </w:r>
      <w:r>
        <w:rPr>
          <w:color w:val="000000"/>
          <w:sz w:val="22"/>
        </w:rPr>
        <w:t xml:space="preserve"> formě nebo využívat pro přístup k celému portfoliu norem předplatné samozřejmě zůstává zachována. Pokud ale zájemce s normami nepracuje pravidelně, může si díky novému e-shopu snadno pořídit i jednu konkrétní normu. </w:t>
      </w:r>
    </w:p>
    <w:p w14:paraId="6D2BAF1E" w14:textId="77777777" w:rsidR="00AF31A3" w:rsidRDefault="00000000">
      <w:pPr>
        <w:pBdr>
          <w:top w:val="nil"/>
          <w:left w:val="nil"/>
          <w:bottom w:val="nil"/>
          <w:right w:val="nil"/>
          <w:between w:val="nil"/>
        </w:pBdr>
        <w:spacing w:before="280" w:after="280" w:line="240" w:lineRule="auto"/>
        <w:jc w:val="both"/>
        <w:rPr>
          <w:color w:val="000000"/>
          <w:sz w:val="22"/>
        </w:rPr>
      </w:pPr>
      <w:r>
        <w:rPr>
          <w:color w:val="000000"/>
          <w:sz w:val="22"/>
        </w:rPr>
        <w:t>V okamžiku spuštění je možné vybírat z více než 70 tisíc dokumentů. V nabídce jsou samozřejmě všechny platné normy ČSN a TNI. Současně bude ale možné zakoupit i některé již neplatné normy, které byly v minulosti převedeny do elektronické podoby. Kromě norem bude možné v novém internetovém obchodě České agentury pro standardizaci zakoupit také vybrané odborné publikace, které vydává Agentura ČAS samostatně nebo ve spolupráci s jinými vydavateli. Tyto publikace jsou většinou k dispozici v tištěné podobě.</w:t>
      </w:r>
    </w:p>
    <w:p w14:paraId="3FEA1300" w14:textId="77777777" w:rsidR="00AF31A3" w:rsidRDefault="00000000">
      <w:pPr>
        <w:pBdr>
          <w:top w:val="nil"/>
          <w:left w:val="nil"/>
          <w:bottom w:val="nil"/>
          <w:right w:val="nil"/>
          <w:between w:val="nil"/>
        </w:pBdr>
        <w:spacing w:before="280" w:after="280" w:line="240" w:lineRule="auto"/>
        <w:jc w:val="both"/>
        <w:rPr>
          <w:color w:val="000000"/>
          <w:sz w:val="22"/>
        </w:rPr>
      </w:pPr>
      <w:r>
        <w:rPr>
          <w:i/>
          <w:color w:val="000000"/>
          <w:sz w:val="22"/>
        </w:rPr>
        <w:t xml:space="preserve">„V rychle se měnícím světě důležitost technických norem neklesá, spíše naopak. Ročně je vydáno více než 5 tisíc nových norem, dalších dokumentů a jejich aktualizací, které reagují na aktuální trendy a vývoj,“ </w:t>
      </w:r>
      <w:r>
        <w:rPr>
          <w:color w:val="000000"/>
          <w:sz w:val="22"/>
        </w:rPr>
        <w:t xml:space="preserve">zdůrazňuje </w:t>
      </w:r>
      <w:r>
        <w:rPr>
          <w:b/>
          <w:color w:val="000000"/>
          <w:sz w:val="22"/>
        </w:rPr>
        <w:t>generální ředitel České agentury pro standardizaci Zdeněk Veselý</w:t>
      </w:r>
      <w:r>
        <w:rPr>
          <w:color w:val="000000"/>
          <w:sz w:val="22"/>
        </w:rPr>
        <w:t>.</w:t>
      </w:r>
      <w:r>
        <w:rPr>
          <w:i/>
          <w:color w:val="000000"/>
          <w:sz w:val="22"/>
        </w:rPr>
        <w:t xml:space="preserve"> „Spuštěním e-shopu chceme nabídnout možnost pořídit si vybranou normu úplně každému s minimem překážek a bariér. Staženou v počítači ji může mít během pár sekund,“</w:t>
      </w:r>
      <w:r>
        <w:rPr>
          <w:color w:val="000000"/>
          <w:sz w:val="22"/>
        </w:rPr>
        <w:t xml:space="preserve"> doplňuje </w:t>
      </w:r>
      <w:r>
        <w:rPr>
          <w:b/>
          <w:color w:val="000000"/>
          <w:sz w:val="22"/>
        </w:rPr>
        <w:t>Veselý</w:t>
      </w:r>
      <w:r>
        <w:rPr>
          <w:color w:val="000000"/>
          <w:sz w:val="22"/>
        </w:rPr>
        <w:t>.</w:t>
      </w:r>
    </w:p>
    <w:p w14:paraId="11E7BFA5" w14:textId="77777777" w:rsidR="00AF31A3" w:rsidRDefault="00000000">
      <w:pPr>
        <w:pBdr>
          <w:top w:val="nil"/>
          <w:left w:val="nil"/>
          <w:bottom w:val="nil"/>
          <w:right w:val="nil"/>
          <w:between w:val="nil"/>
        </w:pBdr>
        <w:spacing w:before="280" w:after="120" w:line="240" w:lineRule="auto"/>
        <w:jc w:val="both"/>
        <w:rPr>
          <w:b/>
        </w:rPr>
      </w:pPr>
      <w:r>
        <w:rPr>
          <w:b/>
        </w:rPr>
        <w:t>Snadné vyhledávání i opakované stažení</w:t>
      </w:r>
    </w:p>
    <w:p w14:paraId="02AFCBDA" w14:textId="23308D35" w:rsidR="00AF31A3" w:rsidRDefault="00000000">
      <w:pPr>
        <w:pBdr>
          <w:top w:val="nil"/>
          <w:left w:val="nil"/>
          <w:bottom w:val="nil"/>
          <w:right w:val="nil"/>
          <w:between w:val="nil"/>
        </w:pBdr>
        <w:spacing w:after="280" w:line="240" w:lineRule="auto"/>
        <w:jc w:val="both"/>
        <w:rPr>
          <w:color w:val="000000"/>
          <w:sz w:val="22"/>
        </w:rPr>
      </w:pPr>
      <w:r>
        <w:rPr>
          <w:color w:val="000000"/>
          <w:sz w:val="22"/>
        </w:rPr>
        <w:t xml:space="preserve">Koupit si potřebnou technickou normu by skutečně mělo být otázkou okamžiku. Při vývoji nového e-shopu byl kladen důraz na to, aby maximálně zjednodušil nejen proces registrace a samotného nákupu, ale také vyhledání žádané normy či publikace. Vzhledem k tomu, že již od začátku nabízí více než 70 tisíc položek a každý týden průběžně přibývají další, je snadné vyhledávání skutečně důležité. Internetový obchod Agentury ČAS nabízí dva přístupy – prvním je možnost vyhledat normu podle jejího označení nebo názvu, druhou potom využít osvědčený </w:t>
      </w:r>
      <w:r>
        <w:rPr>
          <w:color w:val="000000"/>
          <w:sz w:val="22"/>
        </w:rPr>
        <w:lastRenderedPageBreak/>
        <w:t xml:space="preserve">detailní vyhledávací model, který je důvěrně znám všem, kteří přistupují k bibliografické databázi </w:t>
      </w:r>
      <w:hyperlink r:id="rId10">
        <w:r>
          <w:rPr>
            <w:b/>
            <w:color w:val="21BDCB"/>
            <w:sz w:val="22"/>
          </w:rPr>
          <w:t>Seznam ČSN</w:t>
        </w:r>
      </w:hyperlink>
      <w:r>
        <w:rPr>
          <w:color w:val="000000"/>
          <w:sz w:val="22"/>
        </w:rPr>
        <w:t xml:space="preserve"> nebo pracují s webem </w:t>
      </w:r>
      <w:hyperlink r:id="rId11">
        <w:r>
          <w:rPr>
            <w:b/>
            <w:color w:val="21BDCB"/>
            <w:sz w:val="22"/>
          </w:rPr>
          <w:t>ČSN online</w:t>
        </w:r>
      </w:hyperlink>
      <w:r>
        <w:rPr>
          <w:color w:val="000000"/>
          <w:sz w:val="22"/>
        </w:rPr>
        <w:t>. Samozřejmostí je, že k dispozici jsou veškeré dostupné podrobné informace o</w:t>
      </w:r>
      <w:r w:rsidR="005401E2">
        <w:rPr>
          <w:color w:val="000000"/>
          <w:sz w:val="22"/>
        </w:rPr>
        <w:t> </w:t>
      </w:r>
      <w:r>
        <w:rPr>
          <w:color w:val="000000"/>
          <w:sz w:val="22"/>
        </w:rPr>
        <w:t>normě, a to včetně historie a jejího náhledu. To pomáhá usnadnit přesnou identifikaci dokumentu. Jednou zakoupené normy si mohou zájemci stahovat i opakovaně. Najdou je přímo v příslušné sekci svého uživatelského účtu.</w:t>
      </w:r>
    </w:p>
    <w:p w14:paraId="2D2C126F" w14:textId="33204817" w:rsidR="00AF31A3" w:rsidRDefault="00000000">
      <w:pPr>
        <w:pBdr>
          <w:top w:val="nil"/>
          <w:left w:val="nil"/>
          <w:bottom w:val="nil"/>
          <w:right w:val="nil"/>
          <w:between w:val="nil"/>
        </w:pBdr>
        <w:spacing w:before="280" w:after="280" w:line="240" w:lineRule="auto"/>
        <w:jc w:val="both"/>
        <w:rPr>
          <w:color w:val="000000"/>
          <w:sz w:val="22"/>
        </w:rPr>
      </w:pPr>
      <w:hyperlink r:id="rId12">
        <w:r>
          <w:rPr>
            <w:b/>
            <w:color w:val="21BDCB"/>
            <w:sz w:val="22"/>
          </w:rPr>
          <w:t>E-shop</w:t>
        </w:r>
      </w:hyperlink>
      <w:r>
        <w:rPr>
          <w:color w:val="000000"/>
          <w:sz w:val="22"/>
        </w:rPr>
        <w:t xml:space="preserve"> je dalším krokem České agentury pro standardizaci k usnadnění přístupu k českým technickým normám, a</w:t>
      </w:r>
      <w:r w:rsidR="005401E2">
        <w:rPr>
          <w:color w:val="000000"/>
          <w:sz w:val="22"/>
        </w:rPr>
        <w:t> </w:t>
      </w:r>
      <w:r>
        <w:rPr>
          <w:color w:val="000000"/>
          <w:sz w:val="22"/>
        </w:rPr>
        <w:t xml:space="preserve">to jak platným, tak již neplatným. Všechny další možnosti, jak si normy pořídit, přirozeně zůstávají zachovány. Kromě již zmíněné možnosti předplatného budou všechny vydané normy k dispozici k zakoupení také v tištěné podobě v </w:t>
      </w:r>
      <w:r>
        <w:rPr>
          <w:b/>
          <w:color w:val="000000"/>
          <w:sz w:val="22"/>
        </w:rPr>
        <w:t>Zákaznickém centru Agentury ČAS</w:t>
      </w:r>
      <w:r>
        <w:rPr>
          <w:color w:val="000000"/>
          <w:sz w:val="22"/>
        </w:rPr>
        <w:t xml:space="preserve">. To se od 1. února 2023 vrací do nově zrekonstruovaných prostor sídla Agentury ČAS na adrese </w:t>
      </w:r>
      <w:r>
        <w:rPr>
          <w:i/>
          <w:color w:val="000000"/>
          <w:sz w:val="22"/>
        </w:rPr>
        <w:t>Biskupský dvůr 5/1148, Praha 1</w:t>
      </w:r>
      <w:r>
        <w:rPr>
          <w:color w:val="000000"/>
          <w:sz w:val="22"/>
        </w:rPr>
        <w:t>. Spuštěním internetového obchodu Česká agentura pro standardizaci současně symbolicky zakončuje letošní oslavy 100 let české technické normalizace.</w:t>
      </w:r>
    </w:p>
    <w:p w14:paraId="0ECBF490" w14:textId="77777777" w:rsidR="00AF31A3" w:rsidRDefault="00000000">
      <w:pPr>
        <w:pBdr>
          <w:top w:val="nil"/>
          <w:left w:val="nil"/>
          <w:bottom w:val="nil"/>
          <w:right w:val="nil"/>
          <w:between w:val="nil"/>
        </w:pBdr>
        <w:spacing w:before="280" w:after="280" w:line="240" w:lineRule="auto"/>
        <w:jc w:val="both"/>
        <w:rPr>
          <w:color w:val="000000"/>
          <w:sz w:val="22"/>
        </w:rPr>
      </w:pPr>
      <w:r>
        <w:rPr>
          <w:color w:val="000000"/>
          <w:sz w:val="22"/>
        </w:rPr>
        <w:t>Od svého spuštění 1. prosince 2022 funguje internetový obchod ve veřejném testovacím režimu. Po tomto období bude na základě zpětné vazby od uživatelů doplněn či upraven tak, aby skutečně zcela dostál závazku umožnit každému koupit si potřebnou normu co nejjednodušeji a s minimem bariér.</w:t>
      </w:r>
    </w:p>
    <w:p w14:paraId="48FB8734" w14:textId="77777777" w:rsidR="00AF31A3" w:rsidRDefault="00AF31A3">
      <w:pPr>
        <w:pBdr>
          <w:top w:val="nil"/>
          <w:left w:val="nil"/>
          <w:bottom w:val="nil"/>
          <w:right w:val="nil"/>
          <w:between w:val="nil"/>
        </w:pBdr>
        <w:spacing w:before="280" w:after="280" w:line="240" w:lineRule="auto"/>
        <w:jc w:val="both"/>
        <w:rPr>
          <w:i/>
          <w:color w:val="000000"/>
          <w:sz w:val="22"/>
        </w:rPr>
      </w:pPr>
    </w:p>
    <w:p w14:paraId="747EB785" w14:textId="77777777" w:rsidR="00AF31A3" w:rsidRDefault="00000000">
      <w:pPr>
        <w:rPr>
          <w:b/>
        </w:rPr>
      </w:pPr>
      <w:r>
        <w:rPr>
          <w:b/>
        </w:rPr>
        <w:t>Kontakt pro média</w:t>
      </w:r>
    </w:p>
    <w:tbl>
      <w:tblPr>
        <w:tblStyle w:val="a0"/>
        <w:tblW w:w="483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836"/>
      </w:tblGrid>
      <w:tr w:rsidR="00AF31A3" w14:paraId="08181716" w14:textId="77777777">
        <w:trPr>
          <w:tblHeader/>
        </w:trPr>
        <w:tc>
          <w:tcPr>
            <w:tcW w:w="4836" w:type="dxa"/>
            <w:shd w:val="clear" w:color="auto" w:fill="FFFFFF"/>
          </w:tcPr>
          <w:p w14:paraId="3C535D28" w14:textId="77777777" w:rsidR="00AF31A3" w:rsidRDefault="00000000">
            <w:pPr>
              <w:rPr>
                <w:rFonts w:ascii="Arial" w:eastAsia="Arial" w:hAnsi="Arial" w:cs="Arial"/>
                <w:b/>
                <w:color w:val="808080"/>
                <w:sz w:val="20"/>
                <w:szCs w:val="20"/>
                <w:highlight w:val="white"/>
              </w:rPr>
            </w:pPr>
            <w:r>
              <w:rPr>
                <w:rFonts w:ascii="Arial" w:eastAsia="Arial" w:hAnsi="Arial" w:cs="Arial"/>
                <w:b/>
                <w:color w:val="C20000"/>
                <w:highlight w:val="white"/>
              </w:rPr>
              <w:t xml:space="preserve">Jan </w:t>
            </w:r>
            <w:proofErr w:type="spellStart"/>
            <w:r>
              <w:rPr>
                <w:rFonts w:ascii="Arial" w:eastAsia="Arial" w:hAnsi="Arial" w:cs="Arial"/>
                <w:b/>
                <w:color w:val="C20000"/>
                <w:highlight w:val="white"/>
              </w:rPr>
              <w:t>Lodl</w:t>
            </w:r>
            <w:proofErr w:type="spellEnd"/>
            <w:r>
              <w:rPr>
                <w:rFonts w:ascii="Arial" w:eastAsia="Arial" w:hAnsi="Arial" w:cs="Arial"/>
                <w:b/>
                <w:color w:val="808080"/>
                <w:sz w:val="20"/>
                <w:szCs w:val="20"/>
                <w:highlight w:val="white"/>
              </w:rPr>
              <w:br/>
              <w:t>tiskový mluvčí</w:t>
            </w:r>
            <w:r>
              <w:rPr>
                <w:rFonts w:ascii="Arial" w:eastAsia="Arial" w:hAnsi="Arial" w:cs="Arial"/>
                <w:color w:val="C20000"/>
                <w:highlight w:val="white"/>
              </w:rPr>
              <w:br/>
            </w:r>
            <w:r>
              <w:rPr>
                <w:rFonts w:ascii="Arial" w:eastAsia="Arial" w:hAnsi="Arial" w:cs="Arial"/>
                <w:color w:val="C20000"/>
                <w:sz w:val="20"/>
                <w:szCs w:val="20"/>
                <w:highlight w:val="white"/>
              </w:rPr>
              <w:br/>
              <w:t>Česká agentura pro standardizaci</w:t>
            </w:r>
            <w:r>
              <w:rPr>
                <w:rFonts w:ascii="Arial" w:eastAsia="Arial" w:hAnsi="Arial" w:cs="Arial"/>
                <w:color w:val="808080"/>
                <w:sz w:val="20"/>
                <w:szCs w:val="20"/>
                <w:highlight w:val="white"/>
              </w:rPr>
              <w:br/>
              <w:t>Na Žertvách 132/24 Praha 8</w:t>
            </w:r>
            <w:r>
              <w:rPr>
                <w:rFonts w:ascii="Arial" w:eastAsia="Arial" w:hAnsi="Arial" w:cs="Arial"/>
                <w:color w:val="808080"/>
                <w:sz w:val="20"/>
                <w:szCs w:val="20"/>
                <w:highlight w:val="white"/>
              </w:rPr>
              <w:br/>
              <w:t>tel: +420 724 397 060</w:t>
            </w:r>
            <w:r>
              <w:rPr>
                <w:rFonts w:ascii="Helvetica Neue" w:eastAsia="Helvetica Neue" w:hAnsi="Helvetica Neue" w:cs="Helvetica Neue"/>
                <w:color w:val="0000FF"/>
                <w:highlight w:val="white"/>
                <w:u w:val="single"/>
              </w:rPr>
              <w:br/>
            </w:r>
            <w:hyperlink r:id="rId13">
              <w:r>
                <w:rPr>
                  <w:rFonts w:ascii="Arial" w:eastAsia="Arial" w:hAnsi="Arial" w:cs="Arial"/>
                  <w:b/>
                  <w:color w:val="808080"/>
                  <w:sz w:val="20"/>
                  <w:szCs w:val="20"/>
                  <w:highlight w:val="white"/>
                </w:rPr>
                <w:t>lodl@agentura</w:t>
              </w:r>
            </w:hyperlink>
            <w:hyperlink r:id="rId14">
              <w:r>
                <w:rPr>
                  <w:rFonts w:ascii="Arial" w:eastAsia="Arial" w:hAnsi="Arial" w:cs="Arial"/>
                  <w:color w:val="808080"/>
                  <w:sz w:val="20"/>
                  <w:szCs w:val="20"/>
                  <w:highlight w:val="white"/>
                </w:rPr>
                <w:t>-</w:t>
              </w:r>
            </w:hyperlink>
            <w:hyperlink r:id="rId15">
              <w:r>
                <w:rPr>
                  <w:rFonts w:ascii="Arial" w:eastAsia="Arial" w:hAnsi="Arial" w:cs="Arial"/>
                  <w:b/>
                  <w:color w:val="808080"/>
                  <w:sz w:val="20"/>
                  <w:szCs w:val="20"/>
                  <w:highlight w:val="white"/>
                </w:rPr>
                <w:t>cas</w:t>
              </w:r>
            </w:hyperlink>
            <w:hyperlink r:id="rId16">
              <w:r>
                <w:rPr>
                  <w:rFonts w:ascii="Arial" w:eastAsia="Arial" w:hAnsi="Arial" w:cs="Arial"/>
                  <w:color w:val="808080"/>
                  <w:sz w:val="20"/>
                  <w:szCs w:val="20"/>
                  <w:highlight w:val="white"/>
                </w:rPr>
                <w:t>.</w:t>
              </w:r>
            </w:hyperlink>
            <w:hyperlink r:id="rId17">
              <w:r>
                <w:rPr>
                  <w:rFonts w:ascii="Arial" w:eastAsia="Arial" w:hAnsi="Arial" w:cs="Arial"/>
                  <w:b/>
                  <w:color w:val="808080"/>
                  <w:sz w:val="20"/>
                  <w:szCs w:val="20"/>
                  <w:highlight w:val="white"/>
                </w:rPr>
                <w:t>cz</w:t>
              </w:r>
            </w:hyperlink>
            <w:r>
              <w:rPr>
                <w:color w:val="000000"/>
              </w:rPr>
              <w:br/>
            </w:r>
            <w:hyperlink r:id="rId18">
              <w:r>
                <w:rPr>
                  <w:rFonts w:ascii="Arial" w:eastAsia="Arial" w:hAnsi="Arial" w:cs="Arial"/>
                  <w:b/>
                  <w:color w:val="808080"/>
                  <w:sz w:val="20"/>
                  <w:szCs w:val="20"/>
                  <w:highlight w:val="white"/>
                </w:rPr>
                <w:t>www.koncepcebim.cz</w:t>
              </w:r>
            </w:hyperlink>
          </w:p>
          <w:p w14:paraId="65299A7A" w14:textId="77777777" w:rsidR="00AF31A3" w:rsidRDefault="00AF31A3">
            <w:pPr>
              <w:spacing w:after="0" w:line="240" w:lineRule="auto"/>
              <w:rPr>
                <w:rFonts w:ascii="Arial" w:eastAsia="Arial" w:hAnsi="Arial" w:cs="Arial"/>
                <w:color w:val="C20000"/>
                <w:sz w:val="20"/>
                <w:szCs w:val="20"/>
                <w:highlight w:val="white"/>
              </w:rPr>
            </w:pPr>
          </w:p>
        </w:tc>
      </w:tr>
    </w:tbl>
    <w:p w14:paraId="1F3A5586" w14:textId="77777777" w:rsidR="00AF31A3" w:rsidRDefault="00AF31A3">
      <w:pPr>
        <w:spacing w:after="0" w:line="240" w:lineRule="auto"/>
        <w:rPr>
          <w:rFonts w:ascii="Arial" w:eastAsia="Arial" w:hAnsi="Arial" w:cs="Arial"/>
          <w:b/>
          <w:color w:val="808080"/>
          <w:sz w:val="20"/>
          <w:szCs w:val="20"/>
          <w:highlight w:val="white"/>
        </w:rPr>
      </w:pPr>
    </w:p>
    <w:sectPr w:rsidR="00AF31A3">
      <w:headerReference w:type="even" r:id="rId19"/>
      <w:headerReference w:type="default" r:id="rId20"/>
      <w:footerReference w:type="default" r:id="rId21"/>
      <w:headerReference w:type="first" r:id="rId22"/>
      <w:pgSz w:w="11900" w:h="16840"/>
      <w:pgMar w:top="2127" w:right="907" w:bottom="1418" w:left="907"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8CADC" w14:textId="77777777" w:rsidR="00C76742" w:rsidRDefault="00C76742">
      <w:pPr>
        <w:spacing w:after="0" w:line="240" w:lineRule="auto"/>
      </w:pPr>
      <w:r>
        <w:separator/>
      </w:r>
    </w:p>
  </w:endnote>
  <w:endnote w:type="continuationSeparator" w:id="0">
    <w:p w14:paraId="057D7AF6" w14:textId="77777777" w:rsidR="00C76742" w:rsidRDefault="00C76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w:charset w:val="00"/>
    <w:family w:val="swiss"/>
    <w:pitch w:val="variable"/>
    <w:sig w:usb0="E00002FF" w:usb1="4000001F" w:usb2="08000029" w:usb3="00000000" w:csb0="00000001" w:csb1="00000000"/>
  </w:font>
  <w:font w:name="Times New Roman">
    <w:panose1 w:val="02020603050405020304"/>
    <w:charset w:val="EE"/>
    <w:family w:val="roman"/>
    <w:pitch w:val="variable"/>
    <w:sig w:usb0="E0002EFF" w:usb1="C000785B" w:usb2="00000009" w:usb3="00000000" w:csb0="000001FF" w:csb1="00000000"/>
  </w:font>
  <w:font w:name="Times New Roman (Nadpisy CS)">
    <w:altName w:val="Times New Roman"/>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 w:name="Times New Roman (Základní text">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Helvetica Neue">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CF102" w14:textId="77777777" w:rsidR="00AF31A3" w:rsidRDefault="00000000">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114300" distR="114300" simplePos="0" relativeHeight="251657728" behindDoc="0" locked="0" layoutInCell="1" hidden="0" allowOverlap="1" wp14:anchorId="32668CEB" wp14:editId="1B88B920">
          <wp:simplePos x="0" y="0"/>
          <wp:positionH relativeFrom="column">
            <wp:posOffset>-528320</wp:posOffset>
          </wp:positionH>
          <wp:positionV relativeFrom="paragraph">
            <wp:posOffset>-132080</wp:posOffset>
          </wp:positionV>
          <wp:extent cx="7191375" cy="672465"/>
          <wp:effectExtent l="0" t="0" r="9525" b="0"/>
          <wp:wrapNone/>
          <wp:docPr id="36" name="image1.jpg" descr="C:\Users\londova\AppData\Local\Temp\notes336F5C\zápatí.jpg"/>
          <wp:cNvGraphicFramePr/>
          <a:graphic xmlns:a="http://schemas.openxmlformats.org/drawingml/2006/main">
            <a:graphicData uri="http://schemas.openxmlformats.org/drawingml/2006/picture">
              <pic:pic xmlns:pic="http://schemas.openxmlformats.org/drawingml/2006/picture">
                <pic:nvPicPr>
                  <pic:cNvPr id="0" name="image1.jpg" descr="C:\Users\londova\AppData\Local\Temp\notes336F5C\zápatí.jpg"/>
                  <pic:cNvPicPr preferRelativeResize="0"/>
                </pic:nvPicPr>
                <pic:blipFill rotWithShape="1">
                  <a:blip r:embed="rId1"/>
                  <a:srcRect r="4187"/>
                  <a:stretch/>
                </pic:blipFill>
                <pic:spPr bwMode="auto">
                  <a:xfrm>
                    <a:off x="0" y="0"/>
                    <a:ext cx="7191375" cy="6724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3AD44" w14:textId="77777777" w:rsidR="00C76742" w:rsidRDefault="00C76742">
      <w:pPr>
        <w:spacing w:after="0" w:line="240" w:lineRule="auto"/>
      </w:pPr>
      <w:r>
        <w:separator/>
      </w:r>
    </w:p>
  </w:footnote>
  <w:footnote w:type="continuationSeparator" w:id="0">
    <w:p w14:paraId="05130111" w14:textId="77777777" w:rsidR="00C76742" w:rsidRDefault="00C767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773C9" w14:textId="77777777" w:rsidR="00AF31A3" w:rsidRDefault="00000000">
    <w:pPr>
      <w:pBdr>
        <w:top w:val="nil"/>
        <w:left w:val="nil"/>
        <w:bottom w:val="nil"/>
        <w:right w:val="nil"/>
        <w:between w:val="nil"/>
      </w:pBdr>
      <w:tabs>
        <w:tab w:val="center" w:pos="4536"/>
        <w:tab w:val="right" w:pos="9072"/>
      </w:tabs>
      <w:spacing w:after="0" w:line="240" w:lineRule="auto"/>
      <w:rPr>
        <w:b/>
        <w:color w:val="5E5E5E"/>
      </w:rPr>
    </w:pPr>
    <w:r>
      <w:rPr>
        <w:b/>
        <w:color w:val="5E5E5E"/>
      </w:rPr>
      <w:pict w14:anchorId="3700EE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Zakazky/19-10-03_CAS_word sablona_hl-papir-2/CAS_word sablona_hl-papir_paticka_MPO_5.wmf" style="position:absolute;margin-left:0;margin-top:0;width:595pt;height:842pt;z-index:-251656704;mso-position-horizontal:center;mso-position-horizontal-relative:margin;mso-position-vertical:center;mso-position-vertical-relative:margin">
          <v:imagedata r:id="rId1" o:title="image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AC620" w14:textId="77777777" w:rsidR="00AF31A3" w:rsidRDefault="00000000">
    <w:pPr>
      <w:pBdr>
        <w:top w:val="nil"/>
        <w:left w:val="nil"/>
        <w:bottom w:val="nil"/>
        <w:right w:val="nil"/>
        <w:between w:val="nil"/>
      </w:pBdr>
      <w:tabs>
        <w:tab w:val="center" w:pos="4536"/>
        <w:tab w:val="right" w:pos="9072"/>
      </w:tabs>
      <w:spacing w:after="0" w:line="240" w:lineRule="auto"/>
      <w:rPr>
        <w:b/>
        <w:color w:val="5E5E5E"/>
      </w:rPr>
    </w:pPr>
    <w:r>
      <w:rPr>
        <w:rFonts w:ascii="Helvetica Neue" w:eastAsia="Helvetica Neue" w:hAnsi="Helvetica Neue" w:cs="Helvetica Neue"/>
        <w:b/>
        <w:color w:val="000000"/>
        <w:sz w:val="18"/>
        <w:szCs w:val="18"/>
      </w:rPr>
      <w:t xml:space="preserve">    </w:t>
    </w:r>
    <w:r>
      <w:rPr>
        <w:noProof/>
      </w:rPr>
      <w:drawing>
        <wp:anchor distT="0" distB="0" distL="114300" distR="114300" simplePos="0" relativeHeight="251655680" behindDoc="0" locked="0" layoutInCell="1" hidden="0" allowOverlap="1" wp14:anchorId="39C15E60" wp14:editId="4A4E6124">
          <wp:simplePos x="0" y="0"/>
          <wp:positionH relativeFrom="column">
            <wp:posOffset>88902</wp:posOffset>
          </wp:positionH>
          <wp:positionV relativeFrom="paragraph">
            <wp:posOffset>31750</wp:posOffset>
          </wp:positionV>
          <wp:extent cx="1964055" cy="552450"/>
          <wp:effectExtent l="0" t="0" r="0" b="0"/>
          <wp:wrapSquare wrapText="bothSides" distT="0" distB="0" distL="114300" distR="114300"/>
          <wp:docPr id="3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t="15689" b="9937"/>
                  <a:stretch>
                    <a:fillRect/>
                  </a:stretch>
                </pic:blipFill>
                <pic:spPr>
                  <a:xfrm>
                    <a:off x="0" y="0"/>
                    <a:ext cx="1964055" cy="552450"/>
                  </a:xfrm>
                  <a:prstGeom prst="rect">
                    <a:avLst/>
                  </a:prstGeom>
                  <a:ln/>
                </pic:spPr>
              </pic:pic>
            </a:graphicData>
          </a:graphic>
        </wp:anchor>
      </w:drawing>
    </w:r>
    <w:r>
      <w:rPr>
        <w:noProof/>
      </w:rPr>
      <w:drawing>
        <wp:anchor distT="0" distB="0" distL="114300" distR="114300" simplePos="0" relativeHeight="251656704" behindDoc="0" locked="0" layoutInCell="1" hidden="0" allowOverlap="1" wp14:anchorId="3BF17ADE" wp14:editId="3A0379DB">
          <wp:simplePos x="0" y="0"/>
          <wp:positionH relativeFrom="column">
            <wp:posOffset>4945594</wp:posOffset>
          </wp:positionH>
          <wp:positionV relativeFrom="paragraph">
            <wp:posOffset>41910</wp:posOffset>
          </wp:positionV>
          <wp:extent cx="1373786" cy="554400"/>
          <wp:effectExtent l="0" t="0" r="0" b="0"/>
          <wp:wrapNone/>
          <wp:docPr id="3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
                  <a:srcRect l="15707" t="30168" r="11932" b="28558"/>
                  <a:stretch>
                    <a:fillRect/>
                  </a:stretch>
                </pic:blipFill>
                <pic:spPr>
                  <a:xfrm>
                    <a:off x="0" y="0"/>
                    <a:ext cx="1373786" cy="55440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1AC3C" w14:textId="77777777" w:rsidR="00AF31A3" w:rsidRDefault="00000000">
    <w:pPr>
      <w:pBdr>
        <w:top w:val="nil"/>
        <w:left w:val="nil"/>
        <w:bottom w:val="nil"/>
        <w:right w:val="nil"/>
        <w:between w:val="nil"/>
      </w:pBdr>
      <w:tabs>
        <w:tab w:val="center" w:pos="4536"/>
        <w:tab w:val="right" w:pos="9072"/>
      </w:tabs>
      <w:spacing w:after="0" w:line="240" w:lineRule="auto"/>
      <w:rPr>
        <w:b/>
        <w:color w:val="5E5E5E"/>
      </w:rPr>
    </w:pPr>
    <w:r>
      <w:rPr>
        <w:b/>
        <w:color w:val="5E5E5E"/>
      </w:rPr>
      <w:pict w14:anchorId="576A3F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alt="/Zakazky/19-10-03_CAS_word sablona_hl-papir-2/CAS_word sablona_hl-papir_paticka_MPO_5.wmf" style="position:absolute;margin-left:0;margin-top:0;width:595pt;height:842pt;z-index:-251657728;mso-position-horizontal:center;mso-position-horizontal-relative:margin;mso-position-vertical:center;mso-position-vertical-relative:margin">
          <v:imagedata r:id="rId1" o:title="image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DA397A"/>
    <w:multiLevelType w:val="multilevel"/>
    <w:tmpl w:val="73AC260C"/>
    <w:lvl w:ilvl="0">
      <w:start w:val="1"/>
      <w:numFmt w:val="decimal"/>
      <w:pStyle w:val="Nadpis1"/>
      <w:lvlText w:val="%1."/>
      <w:lvlJc w:val="left"/>
      <w:pPr>
        <w:tabs>
          <w:tab w:val="num" w:pos="720"/>
        </w:tabs>
        <w:ind w:left="720" w:hanging="720"/>
      </w:pPr>
    </w:lvl>
    <w:lvl w:ilvl="1">
      <w:start w:val="1"/>
      <w:numFmt w:val="decimal"/>
      <w:pStyle w:val="Nadpis2"/>
      <w:lvlText w:val="%2."/>
      <w:lvlJc w:val="left"/>
      <w:pPr>
        <w:tabs>
          <w:tab w:val="num" w:pos="1440"/>
        </w:tabs>
        <w:ind w:left="1440" w:hanging="720"/>
      </w:pPr>
    </w:lvl>
    <w:lvl w:ilvl="2">
      <w:start w:val="1"/>
      <w:numFmt w:val="decimal"/>
      <w:pStyle w:val="Nadpis3"/>
      <w:lvlText w:val="%3."/>
      <w:lvlJc w:val="left"/>
      <w:pPr>
        <w:tabs>
          <w:tab w:val="num" w:pos="2160"/>
        </w:tabs>
        <w:ind w:left="2160" w:hanging="720"/>
      </w:pPr>
    </w:lvl>
    <w:lvl w:ilvl="3">
      <w:start w:val="1"/>
      <w:numFmt w:val="decimal"/>
      <w:pStyle w:val="Nadpis4"/>
      <w:lvlText w:val="%4."/>
      <w:lvlJc w:val="left"/>
      <w:pPr>
        <w:tabs>
          <w:tab w:val="num" w:pos="2880"/>
        </w:tabs>
        <w:ind w:left="2880" w:hanging="720"/>
      </w:pPr>
    </w:lvl>
    <w:lvl w:ilvl="4">
      <w:start w:val="1"/>
      <w:numFmt w:val="decimal"/>
      <w:pStyle w:val="Nadpis5"/>
      <w:lvlText w:val="%5."/>
      <w:lvlJc w:val="left"/>
      <w:pPr>
        <w:tabs>
          <w:tab w:val="num" w:pos="3600"/>
        </w:tabs>
        <w:ind w:left="3600" w:hanging="720"/>
      </w:pPr>
    </w:lvl>
    <w:lvl w:ilvl="5">
      <w:start w:val="1"/>
      <w:numFmt w:val="decimal"/>
      <w:pStyle w:val="Nadpis6"/>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2F14C4A"/>
    <w:multiLevelType w:val="multilevel"/>
    <w:tmpl w:val="1144A346"/>
    <w:lvl w:ilvl="0">
      <w:numFmt w:val="bullet"/>
      <w:lvlText w:val="•"/>
      <w:lvlJc w:val="left"/>
      <w:pPr>
        <w:ind w:left="1070" w:hanging="71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num w:numId="1" w16cid:durableId="1040394469">
    <w:abstractNumId w:val="1"/>
  </w:num>
  <w:num w:numId="2" w16cid:durableId="1858732180">
    <w:abstractNumId w:val="0"/>
  </w:num>
  <w:num w:numId="3" w16cid:durableId="17979148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85214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847176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1A3"/>
    <w:rsid w:val="005401E2"/>
    <w:rsid w:val="00AF31A3"/>
    <w:rsid w:val="00C7674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0B9009"/>
  <w15:docId w15:val="{F3AC2651-7BB6-4A90-A56F-7E4E52E2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61876"/>
    <w:rPr>
      <w:szCs w:val="22"/>
    </w:rPr>
  </w:style>
  <w:style w:type="paragraph" w:styleId="Nadpis1">
    <w:name w:val="heading 1"/>
    <w:basedOn w:val="Normln"/>
    <w:next w:val="Normln"/>
    <w:link w:val="Nadpis1Char"/>
    <w:uiPriority w:val="9"/>
    <w:qFormat/>
    <w:rsid w:val="007C2877"/>
    <w:pPr>
      <w:keepNext/>
      <w:keepLines/>
      <w:numPr>
        <w:numId w:val="2"/>
      </w:numPr>
      <w:spacing w:before="480" w:after="80" w:line="240" w:lineRule="auto"/>
      <w:ind w:left="431" w:hanging="431"/>
      <w:outlineLvl w:val="0"/>
    </w:pPr>
    <w:rPr>
      <w:rFonts w:eastAsiaTheme="majorEastAsia" w:cs="Times New Roman (Nadpisy CS)"/>
      <w:b/>
      <w:caps/>
      <w:color w:val="D90000"/>
      <w:sz w:val="40"/>
      <w:szCs w:val="32"/>
    </w:rPr>
  </w:style>
  <w:style w:type="paragraph" w:styleId="Nadpis2">
    <w:name w:val="heading 2"/>
    <w:basedOn w:val="Normln"/>
    <w:next w:val="Normln"/>
    <w:link w:val="Nadpis2Char"/>
    <w:uiPriority w:val="9"/>
    <w:semiHidden/>
    <w:unhideWhenUsed/>
    <w:qFormat/>
    <w:rsid w:val="007C2877"/>
    <w:pPr>
      <w:keepNext/>
      <w:keepLines/>
      <w:numPr>
        <w:ilvl w:val="1"/>
        <w:numId w:val="3"/>
      </w:numPr>
      <w:spacing w:before="160" w:after="80" w:line="240" w:lineRule="auto"/>
      <w:outlineLvl w:val="1"/>
    </w:pPr>
    <w:rPr>
      <w:rFonts w:eastAsiaTheme="majorEastAsia" w:cstheme="majorBidi"/>
      <w:b/>
      <w:color w:val="D90000"/>
      <w:sz w:val="32"/>
      <w:szCs w:val="26"/>
    </w:rPr>
  </w:style>
  <w:style w:type="paragraph" w:styleId="Nadpis3">
    <w:name w:val="heading 3"/>
    <w:basedOn w:val="Normln"/>
    <w:next w:val="Normln"/>
    <w:link w:val="Nadpis3Char"/>
    <w:uiPriority w:val="9"/>
    <w:semiHidden/>
    <w:unhideWhenUsed/>
    <w:qFormat/>
    <w:rsid w:val="007C2877"/>
    <w:pPr>
      <w:keepNext/>
      <w:keepLines/>
      <w:numPr>
        <w:ilvl w:val="2"/>
        <w:numId w:val="3"/>
      </w:numPr>
      <w:spacing w:before="160" w:after="80" w:line="240" w:lineRule="auto"/>
      <w:outlineLvl w:val="2"/>
    </w:pPr>
    <w:rPr>
      <w:rFonts w:eastAsiaTheme="majorEastAsia" w:cs="Times New Roman (Nadpisy CS)"/>
      <w:b/>
      <w:caps/>
      <w:color w:val="5E5E5E"/>
      <w:sz w:val="26"/>
      <w:szCs w:val="24"/>
    </w:rPr>
  </w:style>
  <w:style w:type="paragraph" w:styleId="Nadpis4">
    <w:name w:val="heading 4"/>
    <w:basedOn w:val="Nadpis3"/>
    <w:next w:val="Normln"/>
    <w:link w:val="Nadpis4Char"/>
    <w:uiPriority w:val="9"/>
    <w:semiHidden/>
    <w:unhideWhenUsed/>
    <w:qFormat/>
    <w:rsid w:val="007C2877"/>
    <w:pPr>
      <w:numPr>
        <w:ilvl w:val="3"/>
      </w:numPr>
      <w:outlineLvl w:val="3"/>
    </w:pPr>
    <w:rPr>
      <w:rFonts w:asciiTheme="majorHAnsi" w:hAnsiTheme="majorHAnsi"/>
      <w:iCs/>
      <w:caps w:val="0"/>
    </w:rPr>
  </w:style>
  <w:style w:type="paragraph" w:styleId="Nadpis5">
    <w:name w:val="heading 5"/>
    <w:basedOn w:val="Nadpis3"/>
    <w:next w:val="Normln"/>
    <w:link w:val="Nadpis5Char"/>
    <w:uiPriority w:val="9"/>
    <w:semiHidden/>
    <w:unhideWhenUsed/>
    <w:qFormat/>
    <w:rsid w:val="007C2877"/>
    <w:pPr>
      <w:numPr>
        <w:ilvl w:val="4"/>
      </w:numPr>
      <w:outlineLvl w:val="4"/>
    </w:pPr>
    <w:rPr>
      <w:rFonts w:asciiTheme="majorHAnsi" w:hAnsiTheme="majorHAnsi"/>
      <w:sz w:val="24"/>
    </w:rPr>
  </w:style>
  <w:style w:type="paragraph" w:styleId="Nadpis6">
    <w:name w:val="heading 6"/>
    <w:basedOn w:val="Nadpis4"/>
    <w:next w:val="Normln"/>
    <w:link w:val="Nadpis6Char"/>
    <w:uiPriority w:val="9"/>
    <w:semiHidden/>
    <w:unhideWhenUsed/>
    <w:qFormat/>
    <w:rsid w:val="007C2877"/>
    <w:pPr>
      <w:numPr>
        <w:ilvl w:val="5"/>
      </w:numPr>
      <w:outlineLvl w:val="5"/>
    </w:pPr>
    <w:rPr>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link w:val="NzevChar"/>
    <w:uiPriority w:val="10"/>
    <w:qFormat/>
    <w:rsid w:val="002A5FA2"/>
    <w:pPr>
      <w:spacing w:after="0" w:line="240" w:lineRule="auto"/>
      <w:contextualSpacing/>
    </w:pPr>
    <w:rPr>
      <w:rFonts w:eastAsiaTheme="majorEastAsia" w:cs="Times New Roman (Nadpisy CS)"/>
      <w:b/>
      <w:color w:val="D90000"/>
      <w:spacing w:val="-10"/>
      <w:kern w:val="28"/>
      <w:sz w:val="68"/>
      <w:szCs w:val="56"/>
    </w:rPr>
  </w:style>
  <w:style w:type="table" w:customStyle="1" w:styleId="TableNormal0">
    <w:name w:val="Table Normal"/>
    <w:tblPr>
      <w:tblCellMar>
        <w:top w:w="0" w:type="dxa"/>
        <w:left w:w="0" w:type="dxa"/>
        <w:bottom w:w="0" w:type="dxa"/>
        <w:right w:w="0" w:type="dxa"/>
      </w:tblCellMar>
    </w:tblPr>
  </w:style>
  <w:style w:type="paragraph" w:styleId="Zhlav">
    <w:name w:val="header"/>
    <w:basedOn w:val="Normln"/>
    <w:link w:val="ZhlavChar"/>
    <w:uiPriority w:val="99"/>
    <w:unhideWhenUsed/>
    <w:rsid w:val="007C2877"/>
    <w:pPr>
      <w:tabs>
        <w:tab w:val="center" w:pos="4536"/>
        <w:tab w:val="right" w:pos="9072"/>
      </w:tabs>
      <w:spacing w:after="0" w:line="240" w:lineRule="auto"/>
    </w:pPr>
    <w:rPr>
      <w:rFonts w:cs="Times New Roman (Základní text"/>
      <w:b/>
      <w:color w:val="5E5E5E"/>
      <w:szCs w:val="24"/>
    </w:rPr>
  </w:style>
  <w:style w:type="character" w:customStyle="1" w:styleId="ZhlavChar">
    <w:name w:val="Záhlaví Char"/>
    <w:basedOn w:val="Standardnpsmoodstavce"/>
    <w:link w:val="Zhlav"/>
    <w:uiPriority w:val="99"/>
    <w:rsid w:val="007C2877"/>
    <w:rPr>
      <w:rFonts w:cs="Times New Roman (Základní text"/>
      <w:b/>
      <w:color w:val="5E5E5E"/>
    </w:rPr>
  </w:style>
  <w:style w:type="character" w:customStyle="1" w:styleId="Nadpis1Char">
    <w:name w:val="Nadpis 1 Char"/>
    <w:basedOn w:val="Standardnpsmoodstavce"/>
    <w:link w:val="Nadpis1"/>
    <w:uiPriority w:val="9"/>
    <w:rsid w:val="007C2877"/>
    <w:rPr>
      <w:rFonts w:ascii="Calibri" w:eastAsiaTheme="majorEastAsia" w:hAnsi="Calibri" w:cs="Times New Roman (Nadpisy CS)"/>
      <w:b/>
      <w:caps/>
      <w:color w:val="D90000"/>
      <w:sz w:val="40"/>
      <w:szCs w:val="32"/>
    </w:rPr>
  </w:style>
  <w:style w:type="character" w:customStyle="1" w:styleId="Nadpis3Char">
    <w:name w:val="Nadpis 3 Char"/>
    <w:basedOn w:val="Standardnpsmoodstavce"/>
    <w:link w:val="Nadpis3"/>
    <w:uiPriority w:val="9"/>
    <w:rsid w:val="007C2877"/>
    <w:rPr>
      <w:rFonts w:ascii="Calibri" w:eastAsiaTheme="majorEastAsia" w:hAnsi="Calibri" w:cs="Times New Roman (Nadpisy CS)"/>
      <w:b/>
      <w:caps/>
      <w:color w:val="5E5E5E"/>
      <w:sz w:val="26"/>
    </w:rPr>
  </w:style>
  <w:style w:type="character" w:customStyle="1" w:styleId="NzevChar">
    <w:name w:val="Název Char"/>
    <w:basedOn w:val="Standardnpsmoodstavce"/>
    <w:link w:val="Nzev"/>
    <w:uiPriority w:val="99"/>
    <w:rsid w:val="002A5FA2"/>
    <w:rPr>
      <w:rFonts w:ascii="Calibri" w:eastAsiaTheme="majorEastAsia" w:hAnsi="Calibri" w:cs="Times New Roman (Nadpisy CS)"/>
      <w:b/>
      <w:color w:val="D90000"/>
      <w:spacing w:val="-10"/>
      <w:kern w:val="28"/>
      <w:sz w:val="68"/>
      <w:szCs w:val="56"/>
    </w:rPr>
  </w:style>
  <w:style w:type="paragraph" w:styleId="Podnadpis">
    <w:name w:val="Subtitle"/>
    <w:basedOn w:val="Normln"/>
    <w:next w:val="Normln"/>
    <w:link w:val="PodnadpisChar"/>
    <w:uiPriority w:val="11"/>
    <w:qFormat/>
    <w:pPr>
      <w:spacing w:before="160" w:line="240" w:lineRule="auto"/>
    </w:pPr>
    <w:rPr>
      <w:color w:val="F17879"/>
      <w:sz w:val="38"/>
      <w:szCs w:val="38"/>
    </w:rPr>
  </w:style>
  <w:style w:type="character" w:customStyle="1" w:styleId="PodnadpisChar">
    <w:name w:val="Podnadpis Char"/>
    <w:basedOn w:val="Standardnpsmoodstavce"/>
    <w:link w:val="Podnadpis"/>
    <w:uiPriority w:val="11"/>
    <w:rsid w:val="00777FC6"/>
    <w:rPr>
      <w:rFonts w:ascii="Calibri" w:eastAsiaTheme="minorEastAsia" w:hAnsi="Calibri" w:cs="Times New Roman (Základní text"/>
      <w:color w:val="F17879"/>
      <w:sz w:val="38"/>
    </w:rPr>
  </w:style>
  <w:style w:type="character" w:customStyle="1" w:styleId="Nadpis4Char">
    <w:name w:val="Nadpis 4 Char"/>
    <w:basedOn w:val="Standardnpsmoodstavce"/>
    <w:link w:val="Nadpis4"/>
    <w:uiPriority w:val="9"/>
    <w:rsid w:val="007C2877"/>
    <w:rPr>
      <w:rFonts w:asciiTheme="majorHAnsi" w:eastAsiaTheme="majorEastAsia" w:hAnsiTheme="majorHAnsi" w:cs="Times New Roman (Nadpisy CS)"/>
      <w:b/>
      <w:iCs/>
      <w:color w:val="5E5E5E"/>
      <w:sz w:val="26"/>
    </w:rPr>
  </w:style>
  <w:style w:type="character" w:customStyle="1" w:styleId="Nadpis5Char">
    <w:name w:val="Nadpis 5 Char"/>
    <w:basedOn w:val="Standardnpsmoodstavce"/>
    <w:link w:val="Nadpis5"/>
    <w:uiPriority w:val="9"/>
    <w:rsid w:val="007C2877"/>
    <w:rPr>
      <w:rFonts w:asciiTheme="majorHAnsi" w:eastAsiaTheme="majorEastAsia" w:hAnsiTheme="majorHAnsi" w:cs="Times New Roman (Nadpisy CS)"/>
      <w:b/>
      <w:caps/>
      <w:color w:val="5E5E5E"/>
    </w:rPr>
  </w:style>
  <w:style w:type="character" w:customStyle="1" w:styleId="Nadpis6Char">
    <w:name w:val="Nadpis 6 Char"/>
    <w:basedOn w:val="Standardnpsmoodstavce"/>
    <w:link w:val="Nadpis6"/>
    <w:uiPriority w:val="9"/>
    <w:rsid w:val="007C2877"/>
    <w:rPr>
      <w:rFonts w:asciiTheme="majorHAnsi" w:eastAsiaTheme="majorEastAsia" w:hAnsiTheme="majorHAnsi" w:cs="Times New Roman (Nadpisy CS)"/>
      <w:b/>
      <w:iCs/>
      <w:color w:val="5E5E5E"/>
    </w:rPr>
  </w:style>
  <w:style w:type="paragraph" w:customStyle="1" w:styleId="2odsazeni">
    <w:name w:val="2. odsazeni"/>
    <w:basedOn w:val="Normln"/>
    <w:autoRedefine/>
    <w:uiPriority w:val="99"/>
    <w:qFormat/>
    <w:rsid w:val="005617C5"/>
    <w:pPr>
      <w:tabs>
        <w:tab w:val="num" w:pos="720"/>
      </w:tabs>
      <w:suppressAutoHyphens/>
      <w:ind w:left="720" w:hanging="720"/>
    </w:pPr>
    <w:rPr>
      <w:color w:val="000000"/>
    </w:rPr>
  </w:style>
  <w:style w:type="paragraph" w:customStyle="1" w:styleId="perex">
    <w:name w:val="perex"/>
    <w:basedOn w:val="Normln"/>
    <w:rsid w:val="007C2877"/>
    <w:pPr>
      <w:spacing w:before="280"/>
      <w:jc w:val="both"/>
    </w:pPr>
    <w:rPr>
      <w:rFonts w:cs="Times New Roman (Základní text"/>
      <w:b/>
      <w:color w:val="21BDCB"/>
    </w:rPr>
  </w:style>
  <w:style w:type="character" w:customStyle="1" w:styleId="Nadpis2Char">
    <w:name w:val="Nadpis 2 Char"/>
    <w:basedOn w:val="Standardnpsmoodstavce"/>
    <w:link w:val="Nadpis2"/>
    <w:uiPriority w:val="9"/>
    <w:rsid w:val="007C2877"/>
    <w:rPr>
      <w:rFonts w:ascii="Calibri" w:eastAsiaTheme="majorEastAsia" w:hAnsi="Calibri" w:cstheme="majorBidi"/>
      <w:b/>
      <w:color w:val="D90000"/>
      <w:sz w:val="32"/>
      <w:szCs w:val="26"/>
    </w:rPr>
  </w:style>
  <w:style w:type="paragraph" w:styleId="Odstavecseseznamem">
    <w:name w:val="List Paragraph"/>
    <w:basedOn w:val="Normln"/>
    <w:autoRedefine/>
    <w:uiPriority w:val="34"/>
    <w:qFormat/>
    <w:rsid w:val="00CA7382"/>
    <w:pPr>
      <w:pBdr>
        <w:top w:val="nil"/>
        <w:left w:val="nil"/>
        <w:bottom w:val="single" w:sz="6" w:space="20" w:color="000000"/>
        <w:right w:val="nil"/>
        <w:between w:val="nil"/>
      </w:pBdr>
      <w:tabs>
        <w:tab w:val="num" w:pos="720"/>
      </w:tabs>
      <w:spacing w:before="80" w:after="0" w:line="240" w:lineRule="auto"/>
      <w:ind w:left="720" w:hanging="720"/>
      <w:contextualSpacing/>
    </w:pPr>
  </w:style>
  <w:style w:type="table" w:customStyle="1" w:styleId="Svtltabulkasmkou11">
    <w:name w:val="Světlá tabulka s mřížkou 11"/>
    <w:basedOn w:val="Normlntabulka"/>
    <w:uiPriority w:val="46"/>
    <w:rsid w:val="007C2877"/>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vAlign w:val="center"/>
    </w:tcPr>
    <w:tblStylePr w:type="firstRow">
      <w:rPr>
        <w:b/>
        <w:bCs/>
        <w:color w:val="FFFFFF" w:themeColor="background1"/>
      </w:rPr>
      <w:tblPr/>
      <w:tcPr>
        <w:shd w:val="clear" w:color="auto" w:fill="D90000"/>
      </w:tcPr>
    </w:tblStylePr>
    <w:tblStylePr w:type="lastRow">
      <w:rPr>
        <w:b/>
        <w:bCs/>
      </w:rPr>
      <w:tblPr/>
      <w:tcPr>
        <w:tcBorders>
          <w:top w:val="double" w:sz="2" w:space="0" w:color="666666" w:themeColor="text1" w:themeTint="99"/>
        </w:tcBorders>
      </w:tcPr>
    </w:tblStylePr>
    <w:tblStylePr w:type="firstCol">
      <w:rPr>
        <w:b w:val="0"/>
        <w:bCs/>
      </w:rPr>
    </w:tblStylePr>
    <w:tblStylePr w:type="lastCol">
      <w:rPr>
        <w:b/>
        <w:bCs/>
      </w:rPr>
    </w:tblStylePr>
    <w:tblStylePr w:type="band1Horz">
      <w:tblPr/>
      <w:tcPr>
        <w:shd w:val="clear" w:color="auto" w:fill="D1D3D4"/>
      </w:tcPr>
    </w:tblStylePr>
    <w:tblStylePr w:type="band2Horz">
      <w:tblPr/>
      <w:tcPr>
        <w:shd w:val="clear" w:color="auto" w:fill="F2F2F2"/>
      </w:tcPr>
    </w:tblStylePr>
  </w:style>
  <w:style w:type="table" w:customStyle="1" w:styleId="Tmavtabulkasmkou5zvraznn31">
    <w:name w:val="Tmavá tabulka s mřížkou 5 – zvýraznění 31"/>
    <w:basedOn w:val="Normlntabulka"/>
    <w:uiPriority w:val="50"/>
    <w:rsid w:val="00653F62"/>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tblHeader/>
    </w:trPr>
    <w:tcPr>
      <w:shd w:val="clear" w:color="auto" w:fill="EDEDED" w:themeFill="accent3" w:themeFillTint="33"/>
      <w:vAlign w:val="center"/>
    </w:tcPr>
    <w:tblStylePr w:type="firstRow">
      <w:rPr>
        <w:b/>
        <w:bCs/>
        <w:color w:val="FFFFFF" w:themeColor="background1"/>
      </w:rPr>
      <w:tblPr/>
      <w:tcPr>
        <w:shd w:val="clear" w:color="auto" w:fill="D90000"/>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val="0"/>
        <w:bCs/>
        <w:color w:val="000000" w:themeColor="text1"/>
      </w:rPr>
      <w:tblPr/>
      <w:tcPr>
        <w:shd w:val="clear" w:color="auto" w:fill="F17879"/>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1D3D4"/>
      </w:tcPr>
    </w:tblStylePr>
    <w:tblStylePr w:type="band2Vert">
      <w:tblPr/>
      <w:tcPr>
        <w:shd w:val="clear" w:color="auto" w:fill="F2F2F2"/>
      </w:tcPr>
    </w:tblStylePr>
    <w:tblStylePr w:type="band1Horz">
      <w:tblPr/>
      <w:tcPr>
        <w:shd w:val="clear" w:color="auto" w:fill="D1D3D4"/>
      </w:tcPr>
    </w:tblStylePr>
    <w:tblStylePr w:type="band2Horz">
      <w:tblPr/>
      <w:tcPr>
        <w:shd w:val="clear" w:color="auto" w:fill="F2F2F2"/>
      </w:tcPr>
    </w:tblStylePr>
  </w:style>
  <w:style w:type="table" w:customStyle="1" w:styleId="Tmavtabulkasmkou5zvraznn310">
    <w:name w:val="Tmavá tabulka s mřížkou 5 – zvýraznění 31"/>
    <w:basedOn w:val="Normlntabulka"/>
    <w:uiPriority w:val="50"/>
    <w:rsid w:val="00653F62"/>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tblHeader/>
    </w:trPr>
    <w:tcPr>
      <w:shd w:val="clear" w:color="auto" w:fill="EDEDED" w:themeFill="accent3" w:themeFillTint="33"/>
      <w:vAlign w:val="center"/>
    </w:tcPr>
    <w:tblStylePr w:type="firstRow">
      <w:rPr>
        <w:b/>
        <w:bCs/>
        <w:color w:val="70AD47" w:themeColor="accent6"/>
      </w:rPr>
      <w:tblPr/>
      <w:tcPr>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rFonts w:asciiTheme="minorHAnsi" w:hAnsiTheme="minorHAnsi"/>
        <w:b w:val="0"/>
        <w:bCs/>
        <w:color w:val="5B9BD5" w:themeColor="accent1"/>
      </w:rPr>
      <w:tblPr/>
      <w:tcPr>
        <w:shd w:val="clear" w:color="auto" w:fill="F17879"/>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1D3D4"/>
      </w:tcPr>
    </w:tblStylePr>
    <w:tblStylePr w:type="band2Vert">
      <w:tblPr/>
      <w:tcPr>
        <w:shd w:val="clear" w:color="auto" w:fill="F2F2F2"/>
      </w:tcPr>
    </w:tblStylePr>
    <w:tblStylePr w:type="band1Horz">
      <w:tblPr/>
      <w:tcPr>
        <w:shd w:val="clear" w:color="auto" w:fill="D1D3D4"/>
      </w:tcPr>
    </w:tblStylePr>
    <w:tblStylePr w:type="band2Horz">
      <w:tblPr/>
      <w:tcPr>
        <w:shd w:val="clear" w:color="auto" w:fill="F2F2F2"/>
      </w:tcPr>
    </w:tblStylePr>
  </w:style>
  <w:style w:type="paragraph" w:styleId="Zpat">
    <w:name w:val="footer"/>
    <w:basedOn w:val="Normln"/>
    <w:link w:val="ZpatChar"/>
    <w:uiPriority w:val="99"/>
    <w:unhideWhenUsed/>
    <w:rsid w:val="00D00BEB"/>
    <w:pPr>
      <w:tabs>
        <w:tab w:val="center" w:pos="4536"/>
        <w:tab w:val="right" w:pos="9072"/>
      </w:tabs>
      <w:spacing w:after="0" w:line="240" w:lineRule="auto"/>
    </w:pPr>
  </w:style>
  <w:style w:type="character" w:customStyle="1" w:styleId="ZpatChar">
    <w:name w:val="Zápatí Char"/>
    <w:basedOn w:val="Standardnpsmoodstavce"/>
    <w:link w:val="Zpat"/>
    <w:uiPriority w:val="99"/>
    <w:rsid w:val="00D00BEB"/>
    <w:rPr>
      <w:sz w:val="22"/>
      <w:szCs w:val="22"/>
    </w:rPr>
  </w:style>
  <w:style w:type="paragraph" w:customStyle="1" w:styleId="3odsazeni">
    <w:name w:val="3. odsazeni"/>
    <w:basedOn w:val="2odsazeni"/>
    <w:next w:val="Normln"/>
    <w:autoRedefine/>
    <w:uiPriority w:val="99"/>
    <w:qFormat/>
    <w:rsid w:val="00B60F3D"/>
    <w:rPr>
      <w:rFonts w:asciiTheme="minorHAnsi" w:hAnsiTheme="minorHAnsi" w:cs="Times New Roman (Základní text"/>
      <w:color w:val="auto"/>
    </w:rPr>
  </w:style>
  <w:style w:type="character" w:styleId="Hypertextovodkaz">
    <w:name w:val="Hyperlink"/>
    <w:basedOn w:val="Standardnpsmoodstavce"/>
    <w:uiPriority w:val="99"/>
    <w:unhideWhenUsed/>
    <w:rsid w:val="00475986"/>
    <w:rPr>
      <w:b/>
      <w:color w:val="21BDCB"/>
      <w:u w:val="none"/>
    </w:rPr>
  </w:style>
  <w:style w:type="character" w:styleId="Sledovanodkaz">
    <w:name w:val="FollowedHyperlink"/>
    <w:basedOn w:val="Standardnpsmoodstavce"/>
    <w:uiPriority w:val="99"/>
    <w:semiHidden/>
    <w:unhideWhenUsed/>
    <w:rsid w:val="00475986"/>
    <w:rPr>
      <w:color w:val="954F72" w:themeColor="followedHyperlink"/>
      <w:u w:val="single"/>
    </w:rPr>
  </w:style>
  <w:style w:type="paragraph" w:styleId="Textbubliny">
    <w:name w:val="Balloon Text"/>
    <w:basedOn w:val="Normln"/>
    <w:link w:val="TextbublinyChar"/>
    <w:uiPriority w:val="99"/>
    <w:semiHidden/>
    <w:unhideWhenUsed/>
    <w:rsid w:val="00F0233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F0233F"/>
    <w:rPr>
      <w:rFonts w:ascii="Segoe UI" w:hAnsi="Segoe UI" w:cs="Segoe UI"/>
      <w:sz w:val="18"/>
      <w:szCs w:val="18"/>
    </w:rPr>
  </w:style>
  <w:style w:type="character" w:styleId="Odkaznakoment">
    <w:name w:val="annotation reference"/>
    <w:basedOn w:val="Standardnpsmoodstavce"/>
    <w:uiPriority w:val="99"/>
    <w:semiHidden/>
    <w:unhideWhenUsed/>
    <w:rsid w:val="003823CA"/>
    <w:rPr>
      <w:sz w:val="16"/>
      <w:szCs w:val="16"/>
    </w:rPr>
  </w:style>
  <w:style w:type="paragraph" w:styleId="Textkomente">
    <w:name w:val="annotation text"/>
    <w:basedOn w:val="Normln"/>
    <w:link w:val="TextkomenteChar"/>
    <w:uiPriority w:val="99"/>
    <w:semiHidden/>
    <w:unhideWhenUsed/>
    <w:rsid w:val="003823CA"/>
    <w:pPr>
      <w:spacing w:line="240" w:lineRule="auto"/>
    </w:pPr>
    <w:rPr>
      <w:sz w:val="20"/>
      <w:szCs w:val="20"/>
    </w:rPr>
  </w:style>
  <w:style w:type="character" w:customStyle="1" w:styleId="TextkomenteChar">
    <w:name w:val="Text komentáře Char"/>
    <w:basedOn w:val="Standardnpsmoodstavce"/>
    <w:link w:val="Textkomente"/>
    <w:uiPriority w:val="99"/>
    <w:semiHidden/>
    <w:rsid w:val="003823CA"/>
    <w:rPr>
      <w:sz w:val="20"/>
      <w:szCs w:val="20"/>
    </w:rPr>
  </w:style>
  <w:style w:type="paragraph" w:styleId="Pedmtkomente">
    <w:name w:val="annotation subject"/>
    <w:basedOn w:val="Textkomente"/>
    <w:next w:val="Textkomente"/>
    <w:link w:val="PedmtkomenteChar"/>
    <w:uiPriority w:val="99"/>
    <w:semiHidden/>
    <w:unhideWhenUsed/>
    <w:rsid w:val="003823CA"/>
    <w:rPr>
      <w:b/>
      <w:bCs/>
    </w:rPr>
  </w:style>
  <w:style w:type="character" w:customStyle="1" w:styleId="PedmtkomenteChar">
    <w:name w:val="Předmět komentáře Char"/>
    <w:basedOn w:val="TextkomenteChar"/>
    <w:link w:val="Pedmtkomente"/>
    <w:uiPriority w:val="99"/>
    <w:semiHidden/>
    <w:rsid w:val="003823CA"/>
    <w:rPr>
      <w:b/>
      <w:bCs/>
      <w:sz w:val="20"/>
      <w:szCs w:val="20"/>
    </w:rPr>
  </w:style>
  <w:style w:type="paragraph" w:styleId="Normlnweb">
    <w:name w:val="Normal (Web)"/>
    <w:basedOn w:val="Normln"/>
    <w:uiPriority w:val="99"/>
    <w:unhideWhenUsed/>
    <w:rsid w:val="00ED05F8"/>
    <w:pPr>
      <w:spacing w:before="100" w:beforeAutospacing="1" w:after="100" w:afterAutospacing="1" w:line="240" w:lineRule="auto"/>
    </w:pPr>
    <w:rPr>
      <w:rFonts w:ascii="Times New Roman" w:eastAsia="Times New Roman" w:hAnsi="Times New Roman" w:cs="Times New Roman"/>
      <w:szCs w:val="24"/>
    </w:rPr>
  </w:style>
  <w:style w:type="character" w:customStyle="1" w:styleId="-wm-gmail-il">
    <w:name w:val="-wm-gmail-il"/>
    <w:basedOn w:val="Standardnpsmoodstavce"/>
    <w:rsid w:val="001A024B"/>
  </w:style>
  <w:style w:type="character" w:customStyle="1" w:styleId="Nevyeenzmnka1">
    <w:name w:val="Nevyřešená zmínka1"/>
    <w:basedOn w:val="Standardnpsmoodstavce"/>
    <w:uiPriority w:val="99"/>
    <w:semiHidden/>
    <w:unhideWhenUsed/>
    <w:rsid w:val="00805F39"/>
    <w:rPr>
      <w:color w:val="605E5C"/>
      <w:shd w:val="clear" w:color="auto" w:fill="E1DFDD"/>
    </w:rPr>
  </w:style>
  <w:style w:type="table" w:styleId="Mkatabulky">
    <w:name w:val="Table Grid"/>
    <w:basedOn w:val="Normlntabulka"/>
    <w:uiPriority w:val="39"/>
    <w:rsid w:val="00B727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99"/>
    <w:semiHidden/>
    <w:rsid w:val="00297D95"/>
    <w:rPr>
      <w:szCs w:val="22"/>
    </w:rPr>
  </w:style>
  <w:style w:type="character" w:customStyle="1" w:styleId="Nevyeenzmnka2">
    <w:name w:val="Nevyřešená zmínka2"/>
    <w:basedOn w:val="Standardnpsmoodstavce"/>
    <w:uiPriority w:val="99"/>
    <w:semiHidden/>
    <w:unhideWhenUsed/>
    <w:rsid w:val="00C46CCB"/>
    <w:rPr>
      <w:color w:val="605E5C"/>
      <w:shd w:val="clear" w:color="auto" w:fill="E1DFDD"/>
    </w:rPr>
  </w:style>
  <w:style w:type="table" w:customStyle="1" w:styleId="a">
    <w:basedOn w:val="TableNormal0"/>
    <w:rPr>
      <w:sz w:val="22"/>
      <w:szCs w:val="22"/>
    </w:rPr>
    <w:tblPr>
      <w:tblStyleRowBandSize w:val="1"/>
      <w:tblStyleColBandSize w:val="1"/>
      <w:tblCellMar>
        <w:left w:w="115" w:type="dxa"/>
        <w:right w:w="115" w:type="dxa"/>
      </w:tblCellMar>
    </w:tblPr>
    <w:tcPr>
      <w:shd w:val="clear" w:color="auto" w:fill="EDEDED"/>
      <w:vAlign w:val="center"/>
    </w:tcPr>
  </w:style>
  <w:style w:type="character" w:styleId="Nevyeenzmnka">
    <w:name w:val="Unresolved Mention"/>
    <w:basedOn w:val="Standardnpsmoodstavce"/>
    <w:uiPriority w:val="99"/>
    <w:semiHidden/>
    <w:unhideWhenUsed/>
    <w:rsid w:val="00161F9A"/>
    <w:rPr>
      <w:color w:val="605E5C"/>
      <w:shd w:val="clear" w:color="auto" w:fill="E1DFDD"/>
    </w:rPr>
  </w:style>
  <w:style w:type="character" w:styleId="Siln">
    <w:name w:val="Strong"/>
    <w:basedOn w:val="Standardnpsmoodstavce"/>
    <w:uiPriority w:val="22"/>
    <w:qFormat/>
    <w:rsid w:val="0033137D"/>
    <w:rPr>
      <w:b/>
      <w:bCs/>
    </w:rPr>
  </w:style>
  <w:style w:type="table" w:customStyle="1" w:styleId="a0">
    <w:basedOn w:val="TableNormal0"/>
    <w:rPr>
      <w:sz w:val="22"/>
      <w:szCs w:val="22"/>
    </w:rPr>
    <w:tblPr>
      <w:tblStyleRowBandSize w:val="1"/>
      <w:tblStyleColBandSize w:val="1"/>
      <w:tblCellMar>
        <w:left w:w="115" w:type="dxa"/>
        <w:right w:w="115" w:type="dxa"/>
      </w:tblCellMar>
    </w:tblPr>
    <w:tcPr>
      <w:shd w:val="clear" w:color="auto" w:fill="EDEDED"/>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eshop.agentura-cas.cz/" TargetMode="External"/><Relationship Id="rId13" Type="http://schemas.openxmlformats.org/officeDocument/2006/relationships/hyperlink" Target="mailto:lodl@agentura-cas.cz" TargetMode="External"/><Relationship Id="rId18" Type="http://schemas.openxmlformats.org/officeDocument/2006/relationships/hyperlink" Target="http://www.koncepcebim.cz/"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eshop.agentura-cas.cz/" TargetMode="External"/><Relationship Id="rId17" Type="http://schemas.openxmlformats.org/officeDocument/2006/relationships/hyperlink" Target="mailto:lodl@agentura-cas.cz" TargetMode="External"/><Relationship Id="rId2" Type="http://schemas.openxmlformats.org/officeDocument/2006/relationships/numbering" Target="numbering.xml"/><Relationship Id="rId16" Type="http://schemas.openxmlformats.org/officeDocument/2006/relationships/hyperlink" Target="mailto:lodl@agentura-cas.cz"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snonline.agentura-cas.cz/"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lodl@agentura-cas.cz" TargetMode="External"/><Relationship Id="rId23" Type="http://schemas.openxmlformats.org/officeDocument/2006/relationships/fontTable" Target="fontTable.xml"/><Relationship Id="rId10" Type="http://schemas.openxmlformats.org/officeDocument/2006/relationships/hyperlink" Target="https://seznamcsn.agentura-cas.cz/"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shop.agentura-cas.cz/" TargetMode="External"/><Relationship Id="rId14" Type="http://schemas.openxmlformats.org/officeDocument/2006/relationships/hyperlink" Target="mailto:lodl@agentura-cas.cz" TargetMode="External"/><Relationship Id="rId22"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igAThIIOlQfbapTlpottCWqbBqQ==">AMUW2mVfqiCVe3Urck9DsL/oHDJrQg2uNsQCubnrvNMcwYG26bto/FPM3DTd50y28/l4bgGdTvYP/dfj/HztZnUJQ8OBi9VS419qbDX3MTDYkxEnvBAVTsU=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760</Words>
  <Characters>4488</Characters>
  <Application>Microsoft Office Word</Application>
  <DocSecurity>0</DocSecurity>
  <Lines>37</Lines>
  <Paragraphs>10</Paragraphs>
  <ScaleCrop>false</ScaleCrop>
  <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 L</cp:lastModifiedBy>
  <cp:revision>2</cp:revision>
  <dcterms:created xsi:type="dcterms:W3CDTF">2022-11-26T17:11:00Z</dcterms:created>
  <dcterms:modified xsi:type="dcterms:W3CDTF">2022-11-29T21:28:00Z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1a2b6b734ea882db18e5db98498598c64f84adcda7cfcdb82308e37fe4adac37</vt:lpwstr>
  </property>
</Properties>
</file>