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608B5" w14:textId="77777777" w:rsidR="00DC60DD" w:rsidRDefault="00281FD8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3C287FB" wp14:editId="48E76C2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24765" b="19050"/>
                <wp:wrapNone/>
                <wp:docPr id="2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576B6B" id="Line 10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DC60DD">
        <w:t>TECHNICKÁ NORMALIZAČNÍ INFORMACE</w:t>
      </w:r>
    </w:p>
    <w:p w14:paraId="6568C113" w14:textId="444DD8EF" w:rsidR="00DC60DD" w:rsidRDefault="00E15EEC">
      <w:pPr>
        <w:pStyle w:val="1Str1Rad"/>
        <w:spacing w:after="60"/>
        <w:rPr>
          <w:b/>
        </w:rPr>
      </w:pPr>
      <w:r>
        <w:rPr>
          <w:sz w:val="16"/>
        </w:rPr>
        <w:t>ICS </w:t>
      </w:r>
      <w:r w:rsidR="000F4438" w:rsidRPr="00FD2B7F">
        <w:rPr>
          <w:rFonts w:cs="Arial"/>
          <w:sz w:val="16"/>
        </w:rPr>
        <w:t>91.140.99; 91.160.10</w:t>
      </w:r>
      <w:r w:rsidR="00DC60DD">
        <w:tab/>
      </w:r>
      <w:r w:rsidR="00DC60DD">
        <w:tab/>
      </w:r>
      <w:r w:rsidR="00DC60DD">
        <w:rPr>
          <w:b/>
        </w:rPr>
        <w:t>Měsíc</w:t>
      </w:r>
      <w:r>
        <w:rPr>
          <w:b/>
        </w:rPr>
        <w:t> </w:t>
      </w:r>
      <w:r w:rsidR="000F4438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DC60DD" w14:paraId="70A1E65A" w14:textId="77777777">
        <w:trPr>
          <w:cantSplit/>
          <w:trHeight w:val="1701"/>
        </w:trPr>
        <w:tc>
          <w:tcPr>
            <w:tcW w:w="7371" w:type="dxa"/>
          </w:tcPr>
          <w:p w14:paraId="7EC3E503" w14:textId="60F144E7" w:rsidR="00DC60DD" w:rsidRDefault="000F4438" w:rsidP="000F4438">
            <w:pPr>
              <w:pStyle w:val="1StrNN-2-23"/>
            </w:pPr>
            <w:r w:rsidRPr="00FD2B7F">
              <w:t>Energetická náročnost budov</w:t>
            </w:r>
            <w:r>
              <w:t xml:space="preserve"> – </w:t>
            </w:r>
            <w:r w:rsidRPr="00FD2B7F">
              <w:br/>
              <w:t>Energetické požadavky na osvětlení</w:t>
            </w:r>
          </w:p>
        </w:tc>
        <w:tc>
          <w:tcPr>
            <w:tcW w:w="2552" w:type="dxa"/>
            <w:vAlign w:val="center"/>
          </w:tcPr>
          <w:p w14:paraId="3C35A258" w14:textId="0058930B" w:rsidR="00DC60DD" w:rsidRDefault="000F4438" w:rsidP="00E15EEC">
            <w:pPr>
              <w:pStyle w:val="1StrCN"/>
              <w:spacing w:before="0"/>
            </w:pPr>
            <w:r w:rsidRPr="00FD2B7F">
              <w:t>TNI 73 0327</w:t>
            </w:r>
          </w:p>
        </w:tc>
      </w:tr>
    </w:tbl>
    <w:p w14:paraId="0E0F097A" w14:textId="77777777" w:rsidR="00DC60DD" w:rsidRDefault="00DC60DD">
      <w:pPr>
        <w:pStyle w:val="Shodnost"/>
      </w:pPr>
    </w:p>
    <w:p w14:paraId="34EB6AC4" w14:textId="77777777" w:rsidR="000F4438" w:rsidRPr="00A02187" w:rsidRDefault="000F4438" w:rsidP="000F4438">
      <w:pPr>
        <w:pStyle w:val="Nadpislnku"/>
        <w:spacing w:before="0"/>
        <w:outlineLvl w:val="0"/>
      </w:pPr>
      <w:r w:rsidRPr="00A02187">
        <w:t>Nahrazení předchozí TNI</w:t>
      </w:r>
    </w:p>
    <w:p w14:paraId="466BA6A9" w14:textId="77777777" w:rsidR="000F4438" w:rsidRDefault="000F4438" w:rsidP="000F4438">
      <w:pPr>
        <w:pStyle w:val="Textnormy"/>
      </w:pPr>
      <w:r w:rsidRPr="00A02187">
        <w:t xml:space="preserve">Touto </w:t>
      </w:r>
      <w:r>
        <w:t>technickou normalizační informací</w:t>
      </w:r>
      <w:r w:rsidRPr="00A02187">
        <w:t xml:space="preserve"> se nahrazuje TNI</w:t>
      </w:r>
      <w:r>
        <w:t> </w:t>
      </w:r>
      <w:r w:rsidRPr="00A02187">
        <w:t>73</w:t>
      </w:r>
      <w:r>
        <w:t> </w:t>
      </w:r>
      <w:r w:rsidRPr="00A02187">
        <w:t>032</w:t>
      </w:r>
      <w:r>
        <w:t>7</w:t>
      </w:r>
      <w:r w:rsidRPr="00A02187">
        <w:t xml:space="preserve"> z</w:t>
      </w:r>
      <w:r>
        <w:t> </w:t>
      </w:r>
      <w:r w:rsidRPr="00A02187">
        <w:t>února 2009.</w:t>
      </w:r>
    </w:p>
    <w:p w14:paraId="2AE589D9" w14:textId="77777777" w:rsidR="000F4438" w:rsidRPr="00312762" w:rsidRDefault="000F4438" w:rsidP="000F4438">
      <w:pPr>
        <w:pStyle w:val="Nadpislnku"/>
      </w:pPr>
      <w:r w:rsidRPr="00312762">
        <w:t>Změny proti předchozí TNI</w:t>
      </w:r>
    </w:p>
    <w:p w14:paraId="42E60540" w14:textId="77777777" w:rsidR="000F4438" w:rsidRPr="00312762" w:rsidRDefault="000F4438" w:rsidP="000F4438">
      <w:pPr>
        <w:pStyle w:val="Textnormy"/>
      </w:pPr>
      <w:r w:rsidRPr="00312762">
        <w:t>V porovnání s</w:t>
      </w:r>
      <w:r>
        <w:t> </w:t>
      </w:r>
      <w:r w:rsidRPr="00312762">
        <w:t>předchozí TNI je tato technická normalizační informace přepracována s</w:t>
      </w:r>
      <w:r>
        <w:t> </w:t>
      </w:r>
      <w:r w:rsidRPr="00312762">
        <w:t>ohledem na změněné výpočtové hodnoty v</w:t>
      </w:r>
      <w:r>
        <w:t> </w:t>
      </w:r>
      <w:r w:rsidRPr="00312762">
        <w:t>ČSN</w:t>
      </w:r>
      <w:r>
        <w:t> </w:t>
      </w:r>
      <w:r w:rsidRPr="00312762">
        <w:t>EN</w:t>
      </w:r>
      <w:r>
        <w:t> </w:t>
      </w:r>
      <w:r w:rsidRPr="00312762">
        <w:t>15193.</w:t>
      </w:r>
    </w:p>
    <w:p w14:paraId="0D6443AA" w14:textId="77777777" w:rsidR="000F4438" w:rsidRPr="00FD2B7F" w:rsidRDefault="000F4438" w:rsidP="000F4438">
      <w:pPr>
        <w:pStyle w:val="Nadpislnku"/>
      </w:pPr>
      <w:r w:rsidRPr="00FD2B7F">
        <w:t>Informace pro uživatele</w:t>
      </w:r>
    </w:p>
    <w:p w14:paraId="5A849B4F" w14:textId="77777777" w:rsidR="000F4438" w:rsidRPr="00FD2B7F" w:rsidRDefault="000F4438" w:rsidP="000F4438">
      <w:pPr>
        <w:pStyle w:val="Textnormy"/>
      </w:pPr>
      <w:r w:rsidRPr="00FD2B7F">
        <w:t>Číselné hodnoty uvedené v</w:t>
      </w:r>
      <w:r>
        <w:t> </w:t>
      </w:r>
      <w:r w:rsidRPr="00FD2B7F">
        <w:t xml:space="preserve">této </w:t>
      </w:r>
      <w:r>
        <w:t>technické normalizační informaci</w:t>
      </w:r>
      <w:r w:rsidRPr="00FD2B7F">
        <w:t xml:space="preserve"> nebo získané popsanými metodami (např</w:t>
      </w:r>
      <w:r>
        <w:t>.</w:t>
      </w:r>
      <w:r w:rsidRPr="00FD2B7F">
        <w:t xml:space="preserve"> podle ČSN</w:t>
      </w:r>
      <w:r>
        <w:t> </w:t>
      </w:r>
      <w:r w:rsidRPr="00FD2B7F">
        <w:t>EN</w:t>
      </w:r>
      <w:r>
        <w:t> </w:t>
      </w:r>
      <w:r w:rsidRPr="00FD2B7F">
        <w:t>15193) mohou sloužit pouze pro posouzení energetické náročnosti jednotlivých budov a</w:t>
      </w:r>
      <w:r>
        <w:t> </w:t>
      </w:r>
      <w:r w:rsidRPr="00FD2B7F">
        <w:t>pro jejich vzájemné srovnání z</w:t>
      </w:r>
      <w:r>
        <w:t> </w:t>
      </w:r>
      <w:r w:rsidRPr="00FD2B7F">
        <w:t>hlediska energetické náročnosti.</w:t>
      </w:r>
    </w:p>
    <w:p w14:paraId="2C471BA3" w14:textId="77777777" w:rsidR="000F4438" w:rsidRPr="00FD2B7F" w:rsidRDefault="000F4438" w:rsidP="000F4438">
      <w:pPr>
        <w:pStyle w:val="Textnormy"/>
      </w:pPr>
      <w:r w:rsidRPr="00FD2B7F">
        <w:t>V žádném případě není přípustné tyto hodnoty používat pro návrh osvětlovací soustavy.</w:t>
      </w:r>
    </w:p>
    <w:p w14:paraId="3EFC124F" w14:textId="77777777" w:rsidR="000F4438" w:rsidRDefault="000F4438" w:rsidP="000F4438">
      <w:pPr>
        <w:pStyle w:val="Nadpislnku"/>
        <w:outlineLvl w:val="0"/>
      </w:pPr>
      <w:r>
        <w:t>Citované dokumenty</w:t>
      </w:r>
    </w:p>
    <w:p w14:paraId="67572F39" w14:textId="77777777" w:rsidR="000F4438" w:rsidRPr="00312762" w:rsidRDefault="000F4438" w:rsidP="000F4438">
      <w:pPr>
        <w:pStyle w:val="Textnormy"/>
      </w:pPr>
      <w:r w:rsidRPr="00312762">
        <w:t>ČSN 33 2000-4-41 ed.</w:t>
      </w:r>
      <w:r>
        <w:t> </w:t>
      </w:r>
      <w:r w:rsidRPr="00312762">
        <w:t>2</w:t>
      </w:r>
      <w:r w:rsidRPr="00312762">
        <w:t> </w:t>
      </w:r>
      <w:r w:rsidRPr="00312762">
        <w:t>Elektrické instalace nízkého napětí</w:t>
      </w:r>
      <w:r>
        <w:t xml:space="preserve"> – </w:t>
      </w:r>
      <w:r w:rsidRPr="00312762">
        <w:t>Část</w:t>
      </w:r>
      <w:r>
        <w:t> </w:t>
      </w:r>
      <w:r w:rsidRPr="00312762">
        <w:t>4-41: Ochranná opatření pro zajištění bezpečnosti</w:t>
      </w:r>
      <w:r>
        <w:t xml:space="preserve"> – </w:t>
      </w:r>
      <w:r w:rsidRPr="00312762">
        <w:t>Ochrana před úrazem elektrickým proudem</w:t>
      </w:r>
    </w:p>
    <w:p w14:paraId="16BB8556" w14:textId="77777777" w:rsidR="000F4438" w:rsidRPr="002F034F" w:rsidRDefault="000F4438" w:rsidP="000F4438">
      <w:pPr>
        <w:pStyle w:val="Textnormy"/>
      </w:pPr>
      <w:r w:rsidRPr="002F034F">
        <w:t>ČSN 33 2000-5-51 ed.</w:t>
      </w:r>
      <w:r>
        <w:t> </w:t>
      </w:r>
      <w:r w:rsidRPr="002F034F">
        <w:t>3</w:t>
      </w:r>
      <w:r w:rsidRPr="005A5916">
        <w:t> </w:t>
      </w:r>
      <w:r w:rsidRPr="002F034F">
        <w:t>Elektrické instalace nízkého napětí Část</w:t>
      </w:r>
      <w:r>
        <w:t> </w:t>
      </w:r>
      <w:r w:rsidRPr="002F034F">
        <w:t>5-51: Výběr a</w:t>
      </w:r>
      <w:r>
        <w:t> </w:t>
      </w:r>
      <w:r w:rsidRPr="002F034F">
        <w:t>stavba elektrických zaříze</w:t>
      </w:r>
      <w:r>
        <w:t>ní – Všeobecné předpisy</w:t>
      </w:r>
    </w:p>
    <w:p w14:paraId="32F6EFBD" w14:textId="77777777" w:rsidR="000F4438" w:rsidRPr="002F034F" w:rsidRDefault="000F4438" w:rsidP="000F4438">
      <w:pPr>
        <w:pStyle w:val="Textnormy"/>
      </w:pPr>
      <w:r w:rsidRPr="005A5916">
        <w:t>ČSN</w:t>
      </w:r>
      <w:r>
        <w:t> </w:t>
      </w:r>
      <w:r w:rsidRPr="005A5916">
        <w:t>33</w:t>
      </w:r>
      <w:r>
        <w:t> </w:t>
      </w:r>
      <w:r w:rsidRPr="005A5916">
        <w:t>2000-5-559</w:t>
      </w:r>
      <w:r w:rsidRPr="005A5916">
        <w:t> </w:t>
      </w:r>
      <w:r w:rsidRPr="002F034F">
        <w:t>Elektrické instalace budov</w:t>
      </w:r>
      <w:r>
        <w:t xml:space="preserve"> – </w:t>
      </w:r>
      <w:r w:rsidRPr="002F034F">
        <w:t>Část</w:t>
      </w:r>
      <w:r>
        <w:t> </w:t>
      </w:r>
      <w:r w:rsidRPr="002F034F">
        <w:t>5-55: Výběr a</w:t>
      </w:r>
      <w:r>
        <w:t> </w:t>
      </w:r>
      <w:r w:rsidRPr="002F034F">
        <w:t>stavba elektrických zařízení</w:t>
      </w:r>
      <w:r>
        <w:t xml:space="preserve"> – </w:t>
      </w:r>
      <w:r w:rsidRPr="002F034F">
        <w:t>Ostatní zařízení</w:t>
      </w:r>
      <w:r>
        <w:t xml:space="preserve"> – </w:t>
      </w:r>
      <w:r w:rsidRPr="002F034F">
        <w:t>Oddíl</w:t>
      </w:r>
      <w:r>
        <w:t> </w:t>
      </w:r>
      <w:r w:rsidRPr="002F034F">
        <w:t>559: Svítidla a</w:t>
      </w:r>
      <w:r>
        <w:t> </w:t>
      </w:r>
      <w:r w:rsidRPr="002F034F">
        <w:t>světelná instalace</w:t>
      </w:r>
    </w:p>
    <w:p w14:paraId="4657E1AD" w14:textId="77777777" w:rsidR="000F4438" w:rsidRPr="002F034F" w:rsidRDefault="000F4438" w:rsidP="000F4438">
      <w:pPr>
        <w:pStyle w:val="Textnormy"/>
      </w:pPr>
      <w:r>
        <w:t>ČSN 33 2000-6</w:t>
      </w:r>
      <w:r w:rsidRPr="005A5916">
        <w:t> </w:t>
      </w:r>
      <w:r w:rsidRPr="002F034F">
        <w:t>Elektrické instalace nízkého napětí</w:t>
      </w:r>
      <w:r>
        <w:t xml:space="preserve"> – </w:t>
      </w:r>
      <w:r w:rsidRPr="002F034F">
        <w:t>Část</w:t>
      </w:r>
      <w:r>
        <w:t> </w:t>
      </w:r>
      <w:r w:rsidRPr="002F034F">
        <w:t>6: Revize</w:t>
      </w:r>
    </w:p>
    <w:p w14:paraId="347996A5" w14:textId="77777777" w:rsidR="000F4438" w:rsidRPr="002F034F" w:rsidRDefault="000F4438" w:rsidP="000F4438">
      <w:pPr>
        <w:pStyle w:val="Textnormy"/>
      </w:pPr>
      <w:r w:rsidRPr="00D1135F">
        <w:rPr>
          <w:spacing w:val="-2"/>
        </w:rPr>
        <w:t>ČSN 33 2000-7-715</w:t>
      </w:r>
      <w:r w:rsidRPr="00D1135F">
        <w:rPr>
          <w:spacing w:val="-2"/>
        </w:rPr>
        <w:t> </w:t>
      </w:r>
      <w:r w:rsidRPr="00D1135F">
        <w:rPr>
          <w:spacing w:val="-2"/>
        </w:rPr>
        <w:t>Elektrické instalace budov – Část 7-715: Zařízení jednoúčelová a ve zvláštních objektech –</w:t>
      </w:r>
      <w:r>
        <w:t xml:space="preserve"> </w:t>
      </w:r>
      <w:r w:rsidRPr="002F034F">
        <w:t>Světelná instalace napájená malým napětím</w:t>
      </w:r>
    </w:p>
    <w:p w14:paraId="379507E4" w14:textId="77777777" w:rsidR="000F4438" w:rsidRPr="002E6FCA" w:rsidRDefault="000F4438" w:rsidP="000F4438">
      <w:pPr>
        <w:pStyle w:val="Textnormy"/>
      </w:pPr>
      <w:r w:rsidRPr="002F034F">
        <w:t>TNI 33 2140</w:t>
      </w:r>
      <w:r w:rsidRPr="002F034F">
        <w:rPr>
          <w:rFonts w:cs="Arial"/>
        </w:rPr>
        <w:t> </w:t>
      </w:r>
      <w:r w:rsidRPr="002F034F">
        <w:t>Elektrický rozvod v</w:t>
      </w:r>
      <w:r>
        <w:t> </w:t>
      </w:r>
      <w:r w:rsidRPr="002F034F">
        <w:t>místnostech pro lékařské účely</w:t>
      </w:r>
      <w:r>
        <w:t xml:space="preserve"> – </w:t>
      </w:r>
      <w:r w:rsidRPr="002354BD">
        <w:t>Komentář k</w:t>
      </w:r>
      <w:r>
        <w:t> </w:t>
      </w:r>
      <w:r w:rsidRPr="002354BD">
        <w:t>ČSN</w:t>
      </w:r>
      <w:r>
        <w:t> </w:t>
      </w:r>
      <w:r w:rsidRPr="002354BD">
        <w:t>33</w:t>
      </w:r>
      <w:r>
        <w:t> </w:t>
      </w:r>
      <w:r w:rsidRPr="002354BD">
        <w:t>2140</w:t>
      </w:r>
    </w:p>
    <w:p w14:paraId="6B5C8866" w14:textId="77777777" w:rsidR="000F4438" w:rsidRPr="002F034F" w:rsidRDefault="000F4438" w:rsidP="000F4438">
      <w:pPr>
        <w:pStyle w:val="Textnormy"/>
      </w:pPr>
      <w:r w:rsidRPr="002F034F">
        <w:t>ČSN</w:t>
      </w:r>
      <w:r>
        <w:t> </w:t>
      </w:r>
      <w:r w:rsidRPr="002F034F">
        <w:t>36</w:t>
      </w:r>
      <w:r>
        <w:t> </w:t>
      </w:r>
      <w:r w:rsidRPr="002F034F">
        <w:t>0011</w:t>
      </w:r>
      <w:r>
        <w:t xml:space="preserve"> (všechny části)</w:t>
      </w:r>
      <w:r>
        <w:t> </w:t>
      </w:r>
      <w:r w:rsidRPr="002F034F">
        <w:t>Měření osvětlení vnitřních prostorů</w:t>
      </w:r>
    </w:p>
    <w:p w14:paraId="57E99156" w14:textId="77777777" w:rsidR="000F4438" w:rsidRPr="00D1135F" w:rsidRDefault="000F4438" w:rsidP="000F4438">
      <w:pPr>
        <w:pStyle w:val="Textnormy"/>
        <w:rPr>
          <w:spacing w:val="-3"/>
        </w:rPr>
      </w:pPr>
      <w:r w:rsidRPr="00D1135F">
        <w:rPr>
          <w:spacing w:val="-3"/>
        </w:rPr>
        <w:t>ČSN EN 12464-1 (36 0450)</w:t>
      </w:r>
      <w:r w:rsidRPr="00D1135F">
        <w:rPr>
          <w:rFonts w:cs="Arial"/>
          <w:spacing w:val="-3"/>
        </w:rPr>
        <w:t> </w:t>
      </w:r>
      <w:r w:rsidRPr="00D1135F">
        <w:rPr>
          <w:spacing w:val="-3"/>
        </w:rPr>
        <w:t>Světlo a osvětlení – Osvětlení pracovních prostorů – Část 1: Vnitřní pracovní prostory</w:t>
      </w:r>
    </w:p>
    <w:p w14:paraId="367979D1" w14:textId="77777777" w:rsidR="000F4438" w:rsidRPr="002F034F" w:rsidRDefault="000F4438" w:rsidP="000F4438">
      <w:pPr>
        <w:pStyle w:val="Textnormy"/>
      </w:pPr>
      <w:r w:rsidRPr="002F034F">
        <w:t>ČSN</w:t>
      </w:r>
      <w:r>
        <w:t> </w:t>
      </w:r>
      <w:r w:rsidRPr="002F034F">
        <w:t>EN</w:t>
      </w:r>
      <w:r>
        <w:t> </w:t>
      </w:r>
      <w:r w:rsidRPr="002F034F">
        <w:t>12193</w:t>
      </w:r>
      <w:r>
        <w:t xml:space="preserve"> (36 0454)</w:t>
      </w:r>
      <w:r>
        <w:t> </w:t>
      </w:r>
      <w:r w:rsidRPr="002F034F">
        <w:t>Světlo a</w:t>
      </w:r>
      <w:r>
        <w:t> </w:t>
      </w:r>
      <w:r w:rsidRPr="002F034F">
        <w:t>osvětlení</w:t>
      </w:r>
      <w:r>
        <w:t xml:space="preserve"> – </w:t>
      </w:r>
      <w:r w:rsidRPr="002F034F">
        <w:t>Osvětlení sportovišť</w:t>
      </w:r>
    </w:p>
    <w:p w14:paraId="6D431E24" w14:textId="77777777" w:rsidR="000F4438" w:rsidRDefault="000F4438" w:rsidP="000F4438">
      <w:pPr>
        <w:pStyle w:val="Textnormy"/>
      </w:pPr>
      <w:r>
        <w:t>ČSN EN 15193:2008 (73 0327)</w:t>
      </w:r>
      <w:r>
        <w:t> </w:t>
      </w:r>
      <w:r w:rsidRPr="003821CB">
        <w:t>Energetická náročnost budov</w:t>
      </w:r>
      <w:r>
        <w:t xml:space="preserve"> – </w:t>
      </w:r>
      <w:r w:rsidRPr="003821CB">
        <w:t>Energetické požadavky na osvětlení</w:t>
      </w:r>
    </w:p>
    <w:p w14:paraId="42E83567" w14:textId="77777777" w:rsidR="000F4438" w:rsidRPr="002F034F" w:rsidRDefault="000F4438" w:rsidP="000F4438">
      <w:pPr>
        <w:pStyle w:val="Textnormy"/>
      </w:pPr>
      <w:r w:rsidRPr="002F034F">
        <w:t>ČSN 73 4301</w:t>
      </w:r>
      <w:r w:rsidRPr="002F034F">
        <w:t> </w:t>
      </w:r>
      <w:r w:rsidRPr="002F034F">
        <w:t>Obytné budovy</w:t>
      </w:r>
    </w:p>
    <w:p w14:paraId="615580AA" w14:textId="77777777" w:rsidR="000F4438" w:rsidRDefault="000F4438" w:rsidP="000F4438">
      <w:pPr>
        <w:pStyle w:val="Nadpislnku"/>
        <w:outlineLvl w:val="0"/>
      </w:pPr>
      <w:r w:rsidRPr="00857436">
        <w:t xml:space="preserve">Souvisící </w:t>
      </w:r>
      <w:r>
        <w:t>dokumenty</w:t>
      </w:r>
    </w:p>
    <w:p w14:paraId="2835E834" w14:textId="77777777" w:rsidR="000F4438" w:rsidRPr="00857436" w:rsidRDefault="000F4438" w:rsidP="000F4438">
      <w:pPr>
        <w:pStyle w:val="Textnormy"/>
      </w:pPr>
      <w:r w:rsidRPr="00857436">
        <w:t>ČSN</w:t>
      </w:r>
      <w:r>
        <w:t> </w:t>
      </w:r>
      <w:r w:rsidRPr="00857436">
        <w:t>IEC</w:t>
      </w:r>
      <w:r>
        <w:t> </w:t>
      </w:r>
      <w:r w:rsidRPr="00857436">
        <w:t>50(845) (33</w:t>
      </w:r>
      <w:r>
        <w:t> </w:t>
      </w:r>
      <w:r w:rsidRPr="00857436">
        <w:t>0050)</w:t>
      </w:r>
      <w:r w:rsidRPr="00857436">
        <w:t> </w:t>
      </w:r>
      <w:r w:rsidRPr="00857436">
        <w:t>Mezinárodní elektrotechnický slovník</w:t>
      </w:r>
      <w:r>
        <w:t xml:space="preserve"> – </w:t>
      </w:r>
      <w:r w:rsidRPr="00857436">
        <w:t>Kapitola</w:t>
      </w:r>
      <w:r>
        <w:t> </w:t>
      </w:r>
      <w:r w:rsidRPr="00857436">
        <w:t>845: Osvětlení</w:t>
      </w:r>
    </w:p>
    <w:p w14:paraId="3719E2B1" w14:textId="77777777" w:rsidR="000F4438" w:rsidRPr="002F034F" w:rsidRDefault="000F4438" w:rsidP="000F4438">
      <w:pPr>
        <w:pStyle w:val="Textnormy"/>
        <w:outlineLvl w:val="0"/>
      </w:pPr>
      <w:r w:rsidRPr="00712C05">
        <w:t>ČSN 33 1500</w:t>
      </w:r>
      <w:r w:rsidRPr="00712C05">
        <w:rPr>
          <w:rFonts w:cs="Arial"/>
        </w:rPr>
        <w:t> </w:t>
      </w:r>
      <w:r w:rsidRPr="00712C05">
        <w:t>Elektrotechnické</w:t>
      </w:r>
      <w:r w:rsidRPr="002F034F">
        <w:t xml:space="preserve"> předpisy</w:t>
      </w:r>
      <w:r>
        <w:t xml:space="preserve"> – </w:t>
      </w:r>
      <w:r w:rsidRPr="002F034F">
        <w:t>Revize elektrických zařízení</w:t>
      </w:r>
    </w:p>
    <w:p w14:paraId="771A64EF" w14:textId="77777777" w:rsidR="000F4438" w:rsidRDefault="000F4438" w:rsidP="000F4438">
      <w:pPr>
        <w:pStyle w:val="Textnormy"/>
      </w:pPr>
      <w:r w:rsidRPr="00712C05">
        <w:t>ČSN</w:t>
      </w:r>
      <w:r>
        <w:t> </w:t>
      </w:r>
      <w:r w:rsidRPr="00712C05">
        <w:t>33 2130 ed.</w:t>
      </w:r>
      <w:r>
        <w:t> </w:t>
      </w:r>
      <w:r w:rsidRPr="00712C05">
        <w:t>2</w:t>
      </w:r>
      <w:r w:rsidRPr="00712C05">
        <w:t> </w:t>
      </w:r>
      <w:r w:rsidRPr="00712C05">
        <w:t>Elektrické instalace nízkého napětí</w:t>
      </w:r>
      <w:r>
        <w:t xml:space="preserve"> – </w:t>
      </w:r>
      <w:r w:rsidRPr="00712C05">
        <w:t>Vnitřní elektrické rozvody</w:t>
      </w:r>
    </w:p>
    <w:p w14:paraId="3450E4BA" w14:textId="168FE04E" w:rsidR="00935B2E" w:rsidRDefault="000F4438" w:rsidP="00730962">
      <w:pPr>
        <w:pStyle w:val="Textnormy"/>
      </w:pPr>
      <w:r w:rsidRPr="00D1135F">
        <w:rPr>
          <w:spacing w:val="-2"/>
        </w:rPr>
        <w:t>ČSN EN 12665 (36 0001)</w:t>
      </w:r>
      <w:r w:rsidRPr="00D1135F">
        <w:rPr>
          <w:spacing w:val="-2"/>
        </w:rPr>
        <w:t> </w:t>
      </w:r>
      <w:r w:rsidRPr="00D1135F">
        <w:rPr>
          <w:spacing w:val="-2"/>
        </w:rPr>
        <w:t>Světlo a osvětlení – Základní termíny a kritéria pro stanovení požadavků na osvětlení</w:t>
      </w:r>
    </w:p>
    <w:p w14:paraId="1E63786F" w14:textId="77777777" w:rsidR="00935B2E" w:rsidRDefault="00935B2E">
      <w:pPr>
        <w:pStyle w:val="Textnormy"/>
        <w:tabs>
          <w:tab w:val="right" w:pos="9923"/>
        </w:tabs>
        <w:sectPr w:rsidR="00935B2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8E2E957" w14:textId="77777777" w:rsidR="000F4438" w:rsidRPr="00857436" w:rsidRDefault="000F4438" w:rsidP="000F4438">
      <w:pPr>
        <w:pStyle w:val="Textnormy"/>
      </w:pPr>
      <w:r w:rsidRPr="00857436">
        <w:lastRenderedPageBreak/>
        <w:t>ČSN</w:t>
      </w:r>
      <w:r>
        <w:t> </w:t>
      </w:r>
      <w:r w:rsidRPr="00857436">
        <w:t>EN</w:t>
      </w:r>
      <w:r>
        <w:t> </w:t>
      </w:r>
      <w:r w:rsidRPr="00857436">
        <w:t>1838 (36</w:t>
      </w:r>
      <w:r>
        <w:t> </w:t>
      </w:r>
      <w:r w:rsidRPr="00857436">
        <w:t>0453)</w:t>
      </w:r>
      <w:r w:rsidRPr="00857436">
        <w:t> </w:t>
      </w:r>
      <w:r w:rsidRPr="00857436">
        <w:t>Světlo a</w:t>
      </w:r>
      <w:r>
        <w:t> </w:t>
      </w:r>
      <w:r w:rsidRPr="00857436">
        <w:t>osvětlení</w:t>
      </w:r>
      <w:r>
        <w:t xml:space="preserve"> – </w:t>
      </w:r>
      <w:r w:rsidRPr="00857436">
        <w:t>Nouzové osvětlení</w:t>
      </w:r>
    </w:p>
    <w:p w14:paraId="641EA8E3" w14:textId="77777777" w:rsidR="000F4438" w:rsidRPr="00712C05" w:rsidRDefault="000F4438" w:rsidP="000F4438">
      <w:pPr>
        <w:pStyle w:val="Textnormy"/>
      </w:pPr>
      <w:r w:rsidRPr="00712C05">
        <w:rPr>
          <w:rFonts w:cs="Arial"/>
        </w:rPr>
        <w:t>ČSN</w:t>
      </w:r>
      <w:r>
        <w:rPr>
          <w:rFonts w:cs="Arial"/>
        </w:rPr>
        <w:t> </w:t>
      </w:r>
      <w:r w:rsidRPr="00712C05">
        <w:rPr>
          <w:rFonts w:cs="Arial"/>
        </w:rPr>
        <w:t>EN</w:t>
      </w:r>
      <w:r>
        <w:rPr>
          <w:rFonts w:cs="Arial"/>
        </w:rPr>
        <w:t> </w:t>
      </w:r>
      <w:r w:rsidRPr="00712C05">
        <w:rPr>
          <w:rFonts w:cs="Arial"/>
        </w:rPr>
        <w:t>61347-2-2 (36</w:t>
      </w:r>
      <w:r>
        <w:rPr>
          <w:rFonts w:cs="Arial"/>
        </w:rPr>
        <w:t> </w:t>
      </w:r>
      <w:r w:rsidRPr="00712C05">
        <w:rPr>
          <w:rFonts w:cs="Arial"/>
        </w:rPr>
        <w:t>0510)</w:t>
      </w:r>
      <w:r w:rsidRPr="00712C05">
        <w:rPr>
          <w:rFonts w:cs="Arial"/>
        </w:rPr>
        <w:t> </w:t>
      </w:r>
      <w:r w:rsidRPr="00712C05">
        <w:t>Ovládací zařízení pro světelné zdroje</w:t>
      </w:r>
      <w:r>
        <w:t xml:space="preserve"> – </w:t>
      </w:r>
      <w:r w:rsidRPr="00712C05">
        <w:t>Část</w:t>
      </w:r>
      <w:r>
        <w:t> </w:t>
      </w:r>
      <w:r w:rsidRPr="00712C05">
        <w:t>2-2: Zvláštní požadavky na elektronické měniče/střídače na stejnosměrné nebo střídavé napájení pro žárovky</w:t>
      </w:r>
    </w:p>
    <w:p w14:paraId="0741F717" w14:textId="77777777" w:rsidR="000F4438" w:rsidRPr="00712C05" w:rsidRDefault="000F4438" w:rsidP="000F4438">
      <w:pPr>
        <w:pStyle w:val="Textnormy"/>
      </w:pPr>
      <w:r w:rsidRPr="00D1135F">
        <w:rPr>
          <w:spacing w:val="-2"/>
        </w:rPr>
        <w:t>ČSN EN 60598-2-23 (36 0600)</w:t>
      </w:r>
      <w:r w:rsidRPr="00D1135F">
        <w:rPr>
          <w:rFonts w:cs="Arial"/>
          <w:spacing w:val="-2"/>
        </w:rPr>
        <w:t> </w:t>
      </w:r>
      <w:r w:rsidRPr="00D1135F">
        <w:rPr>
          <w:spacing w:val="-2"/>
        </w:rPr>
        <w:t>Svítidla – Část 2: Zvláštní požadavky – Oddíl 23: Žárovkové osvětlovací systémy</w:t>
      </w:r>
      <w:r w:rsidRPr="00712C05">
        <w:t xml:space="preserve"> na malé napětí</w:t>
      </w:r>
    </w:p>
    <w:p w14:paraId="08B0F30B" w14:textId="77777777" w:rsidR="000F4438" w:rsidRPr="002F034F" w:rsidRDefault="000F4438" w:rsidP="000F4438">
      <w:pPr>
        <w:pStyle w:val="Nadpislnku"/>
        <w:outlineLvl w:val="0"/>
      </w:pPr>
      <w:r>
        <w:t>Souvisící právní předpisy</w:t>
      </w:r>
    </w:p>
    <w:p w14:paraId="07689DA1" w14:textId="77777777" w:rsidR="000F4438" w:rsidRPr="002F034F" w:rsidRDefault="000F4438" w:rsidP="000F4438">
      <w:pPr>
        <w:pStyle w:val="Textnormy"/>
        <w:outlineLvl w:val="0"/>
      </w:pPr>
      <w:r>
        <w:t>Zákon č. </w:t>
      </w:r>
      <w:r w:rsidRPr="002F034F">
        <w:t>183/2006</w:t>
      </w:r>
      <w:r>
        <w:t> </w:t>
      </w:r>
      <w:r w:rsidRPr="00312762">
        <w:t xml:space="preserve">Sb., </w:t>
      </w:r>
      <w:r w:rsidRPr="00004EEE">
        <w:t>o</w:t>
      </w:r>
      <w:r>
        <w:t> </w:t>
      </w:r>
      <w:r w:rsidRPr="00004EEE">
        <w:t>územním plánování a</w:t>
      </w:r>
      <w:r>
        <w:t> </w:t>
      </w:r>
      <w:r w:rsidRPr="00004EEE">
        <w:t>stavebním řádu</w:t>
      </w:r>
      <w:r w:rsidRPr="002F034F">
        <w:t xml:space="preserve"> </w:t>
      </w:r>
      <w:r>
        <w:t>(</w:t>
      </w:r>
      <w:r w:rsidRPr="002F034F">
        <w:t>stavební zákon</w:t>
      </w:r>
      <w:r>
        <w:t>), ve znění pozdějších předpisů</w:t>
      </w:r>
    </w:p>
    <w:p w14:paraId="5373D88B" w14:textId="77777777" w:rsidR="000F4438" w:rsidRDefault="000F4438" w:rsidP="000F4438">
      <w:pPr>
        <w:pStyle w:val="Textnormy"/>
      </w:pPr>
      <w:r w:rsidRPr="002F034F">
        <w:t>Zákon č.</w:t>
      </w:r>
      <w:r>
        <w:t> 406</w:t>
      </w:r>
      <w:r w:rsidRPr="002F034F">
        <w:t>/200</w:t>
      </w:r>
      <w:r>
        <w:t>0 </w:t>
      </w:r>
      <w:r w:rsidRPr="00312762">
        <w:t>Sb.,</w:t>
      </w:r>
      <w:r>
        <w:t xml:space="preserve"> o hospodaření energií, ve znění pozdějších předpisů</w:t>
      </w:r>
    </w:p>
    <w:p w14:paraId="1E472909" w14:textId="77777777" w:rsidR="000F4438" w:rsidRPr="002F034F" w:rsidRDefault="000F4438" w:rsidP="000F4438">
      <w:pPr>
        <w:pStyle w:val="Textnormy"/>
      </w:pPr>
      <w:r w:rsidRPr="002F034F">
        <w:t>Vyhláška č. 135/2004</w:t>
      </w:r>
      <w:r>
        <w:t> </w:t>
      </w:r>
      <w:r w:rsidRPr="002F034F">
        <w:t>Sb., kterou se stanoví hygienické požadavky na koupaliště, sauny a</w:t>
      </w:r>
      <w:r>
        <w:t> </w:t>
      </w:r>
      <w:r w:rsidRPr="002F034F">
        <w:t>hygienické limity písku v</w:t>
      </w:r>
      <w:r>
        <w:t> </w:t>
      </w:r>
      <w:r w:rsidRPr="002F034F">
        <w:t>pískovištích venkovních hracích ploch</w:t>
      </w:r>
      <w:r>
        <w:t>, ve znění pozdějších předpisů</w:t>
      </w:r>
    </w:p>
    <w:p w14:paraId="2AFDFE43" w14:textId="77777777" w:rsidR="000F4438" w:rsidRPr="002F034F" w:rsidRDefault="000F4438" w:rsidP="000F4438">
      <w:pPr>
        <w:pStyle w:val="Textnormy"/>
      </w:pPr>
      <w:r w:rsidRPr="002F034F">
        <w:t>Vyhláška č. 148/2007</w:t>
      </w:r>
      <w:r>
        <w:t> </w:t>
      </w:r>
      <w:r w:rsidRPr="002F034F">
        <w:t>Sb., o</w:t>
      </w:r>
      <w:r>
        <w:t> </w:t>
      </w:r>
      <w:r w:rsidRPr="002F034F">
        <w:t>energetické náročnosti budov</w:t>
      </w:r>
    </w:p>
    <w:p w14:paraId="6D100875" w14:textId="77777777" w:rsidR="000F4438" w:rsidRDefault="000F4438" w:rsidP="000F4438">
      <w:pPr>
        <w:pStyle w:val="Textnormy"/>
        <w:outlineLvl w:val="0"/>
      </w:pPr>
      <w:r>
        <w:t xml:space="preserve">Vyhláška č. 213/2001 Sb., </w:t>
      </w:r>
      <w:r w:rsidRPr="00F36C2C">
        <w:t>kterou se vydávají podrobnosti náležitostí energetického auditu</w:t>
      </w:r>
      <w:r>
        <w:t>, ve znění pozdějších předpisů</w:t>
      </w:r>
    </w:p>
    <w:p w14:paraId="1B217295" w14:textId="77777777" w:rsidR="000F4438" w:rsidRPr="00857436" w:rsidRDefault="000F4438" w:rsidP="000F4438">
      <w:pPr>
        <w:pStyle w:val="Textnormy"/>
        <w:outlineLvl w:val="0"/>
      </w:pPr>
      <w:r w:rsidRPr="002F034F">
        <w:t>Vyhláška č. 268/2009</w:t>
      </w:r>
      <w:r>
        <w:t> </w:t>
      </w:r>
      <w:r w:rsidRPr="002F034F">
        <w:t>Sb., o</w:t>
      </w:r>
      <w:r>
        <w:t> </w:t>
      </w:r>
      <w:r w:rsidRPr="002F034F">
        <w:t>technických požadavcích na stavby</w:t>
      </w:r>
    </w:p>
    <w:p w14:paraId="6D357E31" w14:textId="77777777" w:rsidR="000F4438" w:rsidRPr="00D27C64" w:rsidRDefault="000F4438" w:rsidP="000F4438">
      <w:pPr>
        <w:pStyle w:val="Nadpislnku"/>
        <w:outlineLvl w:val="0"/>
      </w:pPr>
      <w:r>
        <w:t>Vypracování TNI</w:t>
      </w:r>
    </w:p>
    <w:p w14:paraId="38370341" w14:textId="57BA4697" w:rsidR="000F4438" w:rsidRDefault="000F4438" w:rsidP="000F4438">
      <w:pPr>
        <w:pStyle w:val="Textnormy"/>
        <w:outlineLvl w:val="0"/>
      </w:pPr>
      <w:r w:rsidRPr="00D27C64">
        <w:t>Zpracovatel: Ing. Karel Dvořáček, IČ</w:t>
      </w:r>
      <w:r w:rsidR="002A43A0">
        <w:t>O</w:t>
      </w:r>
      <w:r>
        <w:t xml:space="preserve"> </w:t>
      </w:r>
      <w:r w:rsidRPr="002F034F">
        <w:t>74524607</w:t>
      </w:r>
    </w:p>
    <w:p w14:paraId="5CF43951" w14:textId="47C1AF6F" w:rsidR="00955E05" w:rsidRDefault="00955E05" w:rsidP="000F4438">
      <w:pPr>
        <w:pStyle w:val="Textnormy"/>
        <w:outlineLvl w:val="0"/>
      </w:pPr>
      <w:r>
        <w:t>Technická normalizační komise: TNK 76 Osvětlení</w:t>
      </w:r>
    </w:p>
    <w:p w14:paraId="2E655308" w14:textId="5B8556ED" w:rsidR="00E66465" w:rsidRPr="00E17527" w:rsidRDefault="00E66465" w:rsidP="00E66465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256085">
          <w:rPr>
            <w:rStyle w:val="Hypertextovodkaz"/>
          </w:rPr>
          <w:t>Česká agentura pro standardizaci, státní příspěvková organizace</w:t>
        </w:r>
      </w:hyperlink>
    </w:p>
    <w:p w14:paraId="002F1ACC" w14:textId="76723480" w:rsidR="00E66465" w:rsidRDefault="00E66465" w:rsidP="00E66465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256085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A23C320" w14:textId="77777777" w:rsidR="00E66465" w:rsidRPr="00DC4965" w:rsidRDefault="00E66465" w:rsidP="00E66465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9D4ED6F" w14:textId="77777777" w:rsidR="000F4438" w:rsidRPr="002F034F" w:rsidRDefault="000F4438" w:rsidP="000F4438">
      <w:pPr>
        <w:pStyle w:val="Nadpislnku"/>
        <w:outlineLvl w:val="0"/>
      </w:pPr>
      <w:r w:rsidRPr="002F034F">
        <w:t>Údaje o</w:t>
      </w:r>
      <w:r>
        <w:t> </w:t>
      </w:r>
      <w:r w:rsidRPr="002F034F">
        <w:t>projednání</w:t>
      </w:r>
    </w:p>
    <w:p w14:paraId="08A59504" w14:textId="77777777" w:rsidR="000F4438" w:rsidRPr="002F034F" w:rsidRDefault="000F4438" w:rsidP="000F4438">
      <w:pPr>
        <w:pStyle w:val="Textnormy"/>
        <w:outlineLvl w:val="0"/>
      </w:pPr>
      <w:r w:rsidRPr="002F034F">
        <w:t>TNI 73</w:t>
      </w:r>
      <w:r>
        <w:t> </w:t>
      </w:r>
      <w:r w:rsidRPr="002F034F">
        <w:t>0327 byla projednána v</w:t>
      </w:r>
      <w:r>
        <w:t> </w:t>
      </w:r>
      <w:r w:rsidRPr="002F034F">
        <w:t>připomínkovém řízení</w:t>
      </w:r>
      <w:r>
        <w:t xml:space="preserve"> a v TNK 76 Osvětlení dne 6. října </w:t>
      </w:r>
      <w:smartTag w:uri="urn:schemas-microsoft-com:office:smarttags" w:element="metricconverter">
        <w:smartTagPr>
          <w:attr w:name="ProductID" w:val="2011 a"/>
        </w:smartTagPr>
        <w:r>
          <w:t>2011 a</w:t>
        </w:r>
      </w:smartTag>
      <w:r>
        <w:t xml:space="preserve"> byla doporučena k vydání.</w:t>
      </w:r>
    </w:p>
    <w:p w14:paraId="53527E30" w14:textId="77777777" w:rsidR="000F4438" w:rsidRDefault="000F4438" w:rsidP="000F4438">
      <w:pPr>
        <w:pStyle w:val="Nadpiskapitoly"/>
        <w:pageBreakBefore/>
        <w:spacing w:before="0"/>
      </w:pPr>
      <w:r>
        <w:lastRenderedPageBreak/>
        <w:t>Obsah</w:t>
      </w:r>
    </w:p>
    <w:p w14:paraId="1EBFD912" w14:textId="77777777" w:rsidR="000F4438" w:rsidRDefault="000F4438" w:rsidP="000F4438">
      <w:pPr>
        <w:pStyle w:val="Textnormy"/>
        <w:ind w:right="-1"/>
        <w:jc w:val="right"/>
        <w:rPr>
          <w:sz w:val="18"/>
        </w:rPr>
      </w:pPr>
      <w:r>
        <w:rPr>
          <w:sz w:val="18"/>
        </w:rPr>
        <w:t>Strana</w:t>
      </w:r>
    </w:p>
    <w:p w14:paraId="40F75504" w14:textId="3CDDF7AD" w:rsidR="000F4438" w:rsidRPr="00CF053C" w:rsidRDefault="000F4438" w:rsidP="000F4438">
      <w:pPr>
        <w:pStyle w:val="Obsah1"/>
        <w:rPr>
          <w:rFonts w:cs="Arial"/>
          <w:szCs w:val="18"/>
        </w:rPr>
      </w:pPr>
      <w:r w:rsidRPr="00CF053C">
        <w:rPr>
          <w:rFonts w:cs="Arial"/>
          <w:color w:val="0000FF"/>
          <w:szCs w:val="18"/>
        </w:rPr>
        <w:fldChar w:fldCharType="begin"/>
      </w:r>
      <w:r w:rsidRPr="00CF053C">
        <w:rPr>
          <w:rFonts w:cs="Arial"/>
          <w:color w:val="0000FF"/>
          <w:szCs w:val="18"/>
        </w:rPr>
        <w:instrText xml:space="preserve"> TOC \o "1-3" </w:instrText>
      </w:r>
      <w:r w:rsidRPr="00CF053C">
        <w:rPr>
          <w:rFonts w:cs="Arial"/>
          <w:color w:val="0000FF"/>
          <w:szCs w:val="18"/>
        </w:rPr>
        <w:fldChar w:fldCharType="separate"/>
      </w:r>
      <w:r w:rsidRPr="00CF053C">
        <w:rPr>
          <w:rFonts w:cs="Arial"/>
          <w:b/>
          <w:szCs w:val="18"/>
        </w:rPr>
        <w:t>1</w:t>
      </w:r>
      <w:r w:rsidRPr="00CF053C">
        <w:rPr>
          <w:rFonts w:cs="Arial"/>
          <w:szCs w:val="18"/>
        </w:rPr>
        <w:tab/>
        <w:t>Předmět technické normalizační informace</w:t>
      </w:r>
      <w:r w:rsidRPr="00CF053C">
        <w:rPr>
          <w:rFonts w:cs="Arial"/>
          <w:szCs w:val="18"/>
        </w:rPr>
        <w:tab/>
      </w:r>
      <w:r w:rsidRPr="00CF053C">
        <w:rPr>
          <w:rFonts w:cs="Arial"/>
          <w:szCs w:val="18"/>
        </w:rPr>
        <w:fldChar w:fldCharType="begin"/>
      </w:r>
      <w:r w:rsidRPr="00CF053C">
        <w:rPr>
          <w:rFonts w:cs="Arial"/>
          <w:szCs w:val="18"/>
        </w:rPr>
        <w:instrText xml:space="preserve"> PAGEREF _Toc303693674 \h </w:instrText>
      </w:r>
      <w:r w:rsidRPr="00CF053C">
        <w:rPr>
          <w:rFonts w:cs="Arial"/>
          <w:szCs w:val="18"/>
        </w:rPr>
      </w:r>
      <w:r w:rsidRPr="00CF053C">
        <w:rPr>
          <w:rFonts w:cs="Arial"/>
          <w:szCs w:val="18"/>
        </w:rPr>
        <w:fldChar w:fldCharType="separate"/>
      </w:r>
      <w:r w:rsidRPr="00CF053C">
        <w:rPr>
          <w:rFonts w:cs="Arial"/>
          <w:szCs w:val="18"/>
        </w:rPr>
        <w:t>5</w:t>
      </w:r>
      <w:r w:rsidRPr="00CF053C">
        <w:rPr>
          <w:rFonts w:cs="Arial"/>
          <w:szCs w:val="18"/>
        </w:rPr>
        <w:fldChar w:fldCharType="end"/>
      </w:r>
    </w:p>
    <w:p w14:paraId="6B854D3F" w14:textId="2A736B82" w:rsidR="000F4438" w:rsidRPr="00CF053C" w:rsidRDefault="000F4438" w:rsidP="000F4438">
      <w:pPr>
        <w:pStyle w:val="Obsah1"/>
        <w:rPr>
          <w:rFonts w:cs="Arial"/>
          <w:szCs w:val="18"/>
        </w:rPr>
      </w:pPr>
      <w:r w:rsidRPr="00CF053C">
        <w:rPr>
          <w:rFonts w:cs="Arial"/>
          <w:b/>
          <w:szCs w:val="18"/>
        </w:rPr>
        <w:t>2</w:t>
      </w:r>
      <w:r w:rsidRPr="00CF053C">
        <w:rPr>
          <w:rFonts w:cs="Arial"/>
          <w:szCs w:val="18"/>
        </w:rPr>
        <w:tab/>
        <w:t>Obecně</w:t>
      </w:r>
      <w:r w:rsidRPr="00CF053C">
        <w:rPr>
          <w:rFonts w:cs="Arial"/>
          <w:szCs w:val="18"/>
        </w:rPr>
        <w:tab/>
      </w:r>
      <w:r w:rsidRPr="00CF053C">
        <w:rPr>
          <w:rFonts w:cs="Arial"/>
          <w:szCs w:val="18"/>
        </w:rPr>
        <w:fldChar w:fldCharType="begin"/>
      </w:r>
      <w:r w:rsidRPr="00CF053C">
        <w:rPr>
          <w:rFonts w:cs="Arial"/>
          <w:szCs w:val="18"/>
        </w:rPr>
        <w:instrText xml:space="preserve"> PAGEREF _Toc303693675 \h </w:instrText>
      </w:r>
      <w:r w:rsidRPr="00CF053C">
        <w:rPr>
          <w:rFonts w:cs="Arial"/>
          <w:szCs w:val="18"/>
        </w:rPr>
      </w:r>
      <w:r w:rsidRPr="00CF053C">
        <w:rPr>
          <w:rFonts w:cs="Arial"/>
          <w:szCs w:val="18"/>
        </w:rPr>
        <w:fldChar w:fldCharType="separate"/>
      </w:r>
      <w:r w:rsidRPr="00CF053C">
        <w:rPr>
          <w:rFonts w:cs="Arial"/>
          <w:szCs w:val="18"/>
        </w:rPr>
        <w:t>5</w:t>
      </w:r>
      <w:r w:rsidRPr="00CF053C">
        <w:rPr>
          <w:rFonts w:cs="Arial"/>
          <w:szCs w:val="18"/>
        </w:rPr>
        <w:fldChar w:fldCharType="end"/>
      </w:r>
    </w:p>
    <w:p w14:paraId="73F15F12" w14:textId="28F034E4" w:rsidR="000F4438" w:rsidRPr="00CF053C" w:rsidRDefault="000F4438" w:rsidP="000F4438">
      <w:pPr>
        <w:pStyle w:val="Obsah1"/>
        <w:rPr>
          <w:rFonts w:cs="Arial"/>
          <w:szCs w:val="18"/>
        </w:rPr>
      </w:pPr>
      <w:r w:rsidRPr="00CF053C">
        <w:rPr>
          <w:rFonts w:cs="Arial"/>
          <w:b/>
          <w:szCs w:val="18"/>
        </w:rPr>
        <w:t>3</w:t>
      </w:r>
      <w:r w:rsidRPr="00CF053C">
        <w:rPr>
          <w:rFonts w:cs="Arial"/>
          <w:szCs w:val="18"/>
        </w:rPr>
        <w:tab/>
        <w:t>Termíny a definice</w:t>
      </w:r>
      <w:r w:rsidRPr="00CF053C">
        <w:rPr>
          <w:rFonts w:cs="Arial"/>
          <w:szCs w:val="18"/>
        </w:rPr>
        <w:tab/>
      </w:r>
      <w:r w:rsidRPr="00CF053C">
        <w:rPr>
          <w:rFonts w:cs="Arial"/>
          <w:szCs w:val="18"/>
        </w:rPr>
        <w:fldChar w:fldCharType="begin"/>
      </w:r>
      <w:r w:rsidRPr="00CF053C">
        <w:rPr>
          <w:rFonts w:cs="Arial"/>
          <w:szCs w:val="18"/>
        </w:rPr>
        <w:instrText xml:space="preserve"> PAGEREF _Toc303693676 \h </w:instrText>
      </w:r>
      <w:r w:rsidRPr="00CF053C">
        <w:rPr>
          <w:rFonts w:cs="Arial"/>
          <w:szCs w:val="18"/>
        </w:rPr>
      </w:r>
      <w:r w:rsidRPr="00CF053C">
        <w:rPr>
          <w:rFonts w:cs="Arial"/>
          <w:szCs w:val="18"/>
        </w:rPr>
        <w:fldChar w:fldCharType="separate"/>
      </w:r>
      <w:r w:rsidRPr="00CF053C">
        <w:rPr>
          <w:rFonts w:cs="Arial"/>
          <w:szCs w:val="18"/>
        </w:rPr>
        <w:t>6</w:t>
      </w:r>
      <w:r w:rsidRPr="00CF053C">
        <w:rPr>
          <w:rFonts w:cs="Arial"/>
          <w:szCs w:val="18"/>
        </w:rPr>
        <w:fldChar w:fldCharType="end"/>
      </w:r>
    </w:p>
    <w:p w14:paraId="0DD9390B" w14:textId="77EDDB26" w:rsidR="000F4438" w:rsidRPr="00D27C64" w:rsidRDefault="000F4438" w:rsidP="00E54F55">
      <w:pPr>
        <w:pStyle w:val="Nadpis1"/>
        <w:pageBreakBefore/>
        <w:spacing w:before="0"/>
      </w:pPr>
      <w:r w:rsidRPr="00CF053C">
        <w:rPr>
          <w:rFonts w:cs="Arial"/>
          <w:sz w:val="18"/>
          <w:szCs w:val="18"/>
        </w:rPr>
        <w:lastRenderedPageBreak/>
        <w:fldChar w:fldCharType="end"/>
      </w:r>
      <w:bookmarkStart w:id="0" w:name="_Toc303693674"/>
      <w:r w:rsidR="00E54F55">
        <w:t>1</w:t>
      </w:r>
      <w:r w:rsidR="00E54F55">
        <w:t> </w:t>
      </w:r>
      <w:r w:rsidRPr="00FD2B7F">
        <w:t>Předmět</w:t>
      </w:r>
      <w:r w:rsidRPr="00D27C64">
        <w:t xml:space="preserve"> technické normalizační informace</w:t>
      </w:r>
      <w:bookmarkEnd w:id="0"/>
    </w:p>
    <w:p w14:paraId="616E0614" w14:textId="77777777" w:rsidR="000F4438" w:rsidRPr="00CF053C" w:rsidRDefault="000F4438" w:rsidP="000F4438">
      <w:pPr>
        <w:pStyle w:val="Textnormy"/>
      </w:pPr>
      <w:r w:rsidRPr="00D27C64">
        <w:t xml:space="preserve">Účelem </w:t>
      </w:r>
      <w:r>
        <w:t xml:space="preserve">této technické normalizační informace (TNI) </w:t>
      </w:r>
      <w:r w:rsidRPr="00D27C64">
        <w:t>je doplnění a</w:t>
      </w:r>
      <w:r>
        <w:t> </w:t>
      </w:r>
      <w:r w:rsidRPr="00D27C64">
        <w:t xml:space="preserve">podrobný popis postupů pro stanovení </w:t>
      </w:r>
      <w:r>
        <w:br/>
      </w:r>
      <w:r w:rsidRPr="00D27C64">
        <w:t>výsledného příkonu a</w:t>
      </w:r>
      <w:r>
        <w:t> </w:t>
      </w:r>
      <w:r w:rsidRPr="00D27C64">
        <w:t xml:space="preserve">spotřeby elektrické energie </w:t>
      </w:r>
      <w:r w:rsidRPr="002F034F">
        <w:t>osvětlovacích soustav v</w:t>
      </w:r>
      <w:r>
        <w:t> </w:t>
      </w:r>
      <w:r w:rsidRPr="002F034F">
        <w:t xml:space="preserve">různých typech objektů </w:t>
      </w:r>
      <w:r>
        <w:t xml:space="preserve">v návaznosti na ČSN EN 15193 </w:t>
      </w:r>
      <w:r w:rsidRPr="002F034F">
        <w:t>s</w:t>
      </w:r>
      <w:r>
        <w:t> </w:t>
      </w:r>
      <w:r w:rsidRPr="002F034F">
        <w:t xml:space="preserve">ohledem na geografickou polohu České republiky. Dále jsou uvedeny rozsahy hodnot </w:t>
      </w:r>
      <w:r>
        <w:br/>
      </w:r>
      <w:r w:rsidRPr="002F034F">
        <w:t>poměrných instalovaných příkonů a</w:t>
      </w:r>
      <w:r>
        <w:t> </w:t>
      </w:r>
      <w:r w:rsidRPr="002F034F">
        <w:t>spotřeb elektrické energie na osvětlení pohybující se v</w:t>
      </w:r>
      <w:r>
        <w:t> </w:t>
      </w:r>
      <w:r w:rsidRPr="002F034F">
        <w:t>rozsahu od prakticky dosažitelných hodnot po hodnoty povolené (doporučené). Posledním účelem je popis strategických postupů pro dosažení úspor elektrické energie na osvětlení.</w:t>
      </w:r>
    </w:p>
    <w:p w14:paraId="54EC181D" w14:textId="77777777" w:rsidR="000F4438" w:rsidRPr="00E55C6B" w:rsidRDefault="000F4438" w:rsidP="000F4438">
      <w:pPr>
        <w:pStyle w:val="Textnormy"/>
      </w:pPr>
      <w:r w:rsidRPr="00E55C6B">
        <w:t>V této TNI jsou uvedeny vybrané hodnoty číselného ukazatele energie pro osvětlení (LENI) pro typy budov podle ČSN EN 15193, kde jsou budovy klasifikovány v</w:t>
      </w:r>
      <w:r>
        <w:t> </w:t>
      </w:r>
      <w:r w:rsidRPr="00E55C6B">
        <w:t>těchto kategoriích: budovy administrativní, budovy pro výchovu a</w:t>
      </w:r>
      <w:r>
        <w:t> </w:t>
      </w:r>
      <w:r w:rsidRPr="00E55C6B">
        <w:t>vzdělávání, nemocnice, hotely, restaurace, sportovní zařízení, budovy pro velkoobchodní a</w:t>
      </w:r>
      <w:r>
        <w:t> </w:t>
      </w:r>
      <w:r w:rsidRPr="00E55C6B">
        <w:t>maloobchodní služby a</w:t>
      </w:r>
      <w:r>
        <w:t> </w:t>
      </w:r>
      <w:r w:rsidRPr="00E55C6B">
        <w:t>výrobní činnost. Vybrané hodnoty LENI jsou s</w:t>
      </w:r>
      <w:r>
        <w:t> </w:t>
      </w:r>
      <w:r w:rsidRPr="00E55C6B">
        <w:t>ohledem na požadavky vyplývající z</w:t>
      </w:r>
      <w:r>
        <w:t> </w:t>
      </w:r>
      <w:r w:rsidRPr="00E55C6B">
        <w:t>právních předpisů</w:t>
      </w:r>
      <w:r>
        <w:rPr>
          <w:rStyle w:val="Znakapoznpodarou"/>
        </w:rPr>
        <w:footnoteReference w:customMarkFollows="1" w:id="1"/>
        <w:t>1)</w:t>
      </w:r>
      <w:r w:rsidRPr="00E55C6B">
        <w:t xml:space="preserve"> uvedeny i</w:t>
      </w:r>
      <w:r>
        <w:t> </w:t>
      </w:r>
      <w:r w:rsidRPr="00E55C6B">
        <w:t>pro budovy pro bydlení.</w:t>
      </w:r>
    </w:p>
    <w:p w14:paraId="0065EB21" w14:textId="77777777" w:rsidR="000F4438" w:rsidRPr="002F034F" w:rsidRDefault="000F4438" w:rsidP="000F4438">
      <w:pPr>
        <w:pStyle w:val="Poznmka"/>
      </w:pPr>
      <w:r w:rsidRPr="00CF053C">
        <w:rPr>
          <w:spacing w:val="-2"/>
        </w:rPr>
        <w:t>POZNÁMKA</w:t>
      </w:r>
      <w:r w:rsidRPr="00CF053C">
        <w:rPr>
          <w:rFonts w:cs="Arial"/>
          <w:spacing w:val="-2"/>
        </w:rPr>
        <w:t> </w:t>
      </w:r>
      <w:r w:rsidRPr="00CF053C">
        <w:rPr>
          <w:spacing w:val="-2"/>
        </w:rPr>
        <w:t>S ohledem na zavádění postupu hodnocení spotřeby energie pro umělé osvětlení budov podle ČSN EN 15193</w:t>
      </w:r>
      <w:r w:rsidRPr="002F034F">
        <w:t xml:space="preserve"> je nutno předpokládat, že uvedené hodnoty číselného ukazatele energie pro osvětlení se budou upřesňovat se zaváděním nových svítidel a</w:t>
      </w:r>
      <w:r>
        <w:t> </w:t>
      </w:r>
      <w:r w:rsidRPr="002F034F">
        <w:t>světelných zdrojů a</w:t>
      </w:r>
      <w:r>
        <w:t> </w:t>
      </w:r>
      <w:r w:rsidRPr="002F034F">
        <w:t>dále s</w:t>
      </w:r>
      <w:r>
        <w:t> </w:t>
      </w:r>
      <w:r w:rsidRPr="002F034F">
        <w:t>poznatky z</w:t>
      </w:r>
      <w:r>
        <w:t> </w:t>
      </w:r>
      <w:r w:rsidRPr="002F034F">
        <w:t xml:space="preserve">aplikací </w:t>
      </w:r>
      <w:r w:rsidRPr="009D183F">
        <w:t xml:space="preserve">LENI </w:t>
      </w:r>
      <w:r w:rsidRPr="002F034F">
        <w:t>v</w:t>
      </w:r>
      <w:r>
        <w:t> </w:t>
      </w:r>
      <w:r w:rsidRPr="002F034F">
        <w:t>praxi.</w:t>
      </w:r>
    </w:p>
    <w:p w14:paraId="60F9F540" w14:textId="77777777" w:rsidR="000F4438" w:rsidRPr="002F034F" w:rsidRDefault="000F4438" w:rsidP="000F4438">
      <w:pPr>
        <w:pStyle w:val="Textnormy"/>
      </w:pPr>
      <w:r w:rsidRPr="002F034F">
        <w:t>Tato TNI dále obsahuje:</w:t>
      </w:r>
    </w:p>
    <w:p w14:paraId="70429528" w14:textId="77777777" w:rsidR="000F4438" w:rsidRDefault="000F4438" w:rsidP="000F4438">
      <w:pPr>
        <w:pStyle w:val="Seznamvnorm"/>
        <w:numPr>
          <w:ilvl w:val="0"/>
          <w:numId w:val="3"/>
        </w:numPr>
        <w:tabs>
          <w:tab w:val="clear" w:pos="360"/>
        </w:tabs>
        <w:ind w:left="284" w:hanging="284"/>
      </w:pPr>
      <w:r>
        <w:t>informativní doplňující nebo upřesňující ustanovení převzatá z ČSN EN 12464-1, ČSN 73 4301 a vybraných částí souboru norem ČSN 33 2000 (viz citované podklady);</w:t>
      </w:r>
    </w:p>
    <w:p w14:paraId="4560FFE4" w14:textId="77777777" w:rsidR="000F4438" w:rsidRDefault="000F4438" w:rsidP="000F4438">
      <w:pPr>
        <w:pStyle w:val="Seznamvnorm"/>
        <w:numPr>
          <w:ilvl w:val="0"/>
          <w:numId w:val="3"/>
        </w:numPr>
        <w:tabs>
          <w:tab w:val="clear" w:pos="360"/>
        </w:tabs>
        <w:ind w:left="284" w:hanging="284"/>
      </w:pPr>
      <w:r>
        <w:t>informace v návaznosti na právní předpisy</w:t>
      </w:r>
      <w:r w:rsidRPr="00712083">
        <w:rPr>
          <w:vertAlign w:val="superscript"/>
        </w:rPr>
        <w:t>1),2)</w:t>
      </w:r>
      <w:r>
        <w:t>;</w:t>
      </w:r>
    </w:p>
    <w:p w14:paraId="35459815" w14:textId="77777777" w:rsidR="000F4438" w:rsidRDefault="000F4438" w:rsidP="000F4438">
      <w:pPr>
        <w:pStyle w:val="Seznamvnorm"/>
        <w:numPr>
          <w:ilvl w:val="0"/>
          <w:numId w:val="3"/>
        </w:numPr>
        <w:tabs>
          <w:tab w:val="clear" w:pos="360"/>
        </w:tabs>
        <w:ind w:left="284" w:hanging="284"/>
      </w:pPr>
      <w:r>
        <w:t xml:space="preserve">podklady </w:t>
      </w:r>
      <w:r w:rsidRPr="002F034F">
        <w:t>pro zpracovávání energetických auditů v</w:t>
      </w:r>
      <w:r>
        <w:t> </w:t>
      </w:r>
      <w:r w:rsidRPr="002F034F">
        <w:t>části dotýkající se spotřeby energie pro umělé osvětlení jako součásti hodnocení celkové spotřeby</w:t>
      </w:r>
      <w:r>
        <w:t xml:space="preserve"> elektrické energie</w:t>
      </w:r>
      <w:r w:rsidRPr="002F034F">
        <w:t xml:space="preserve"> v</w:t>
      </w:r>
      <w:r>
        <w:t> </w:t>
      </w:r>
      <w:r w:rsidRPr="002F034F">
        <w:t>objektu.</w:t>
      </w:r>
    </w:p>
    <w:p w14:paraId="49E837B1" w14:textId="77777777" w:rsidR="000F4438" w:rsidRPr="002F034F" w:rsidRDefault="000F4438" w:rsidP="000F4438">
      <w:pPr>
        <w:pStyle w:val="Textnormy"/>
      </w:pPr>
      <w:r w:rsidRPr="002F034F">
        <w:t>V praxi se pro hodnocení energetick</w:t>
      </w:r>
      <w:r>
        <w:t>é</w:t>
      </w:r>
      <w:r w:rsidRPr="002F034F">
        <w:t xml:space="preserve"> náročnost</w:t>
      </w:r>
      <w:r>
        <w:t>i</w:t>
      </w:r>
      <w:r w:rsidRPr="002F034F">
        <w:t xml:space="preserve"> budov používají různé postupy, přičemž jejich účel je odlišný. </w:t>
      </w:r>
      <w:r w:rsidRPr="00CF053C">
        <w:rPr>
          <w:spacing w:val="-2"/>
        </w:rPr>
        <w:t>Hodnocení energetické náročnosti podle ČSN EN 15193 je určeno ke vzájemnému porovnání budov podobného</w:t>
      </w:r>
      <w:r w:rsidRPr="002F034F">
        <w:t xml:space="preserve"> typu a</w:t>
      </w:r>
      <w:r>
        <w:t> </w:t>
      </w:r>
      <w:r w:rsidRPr="002F034F">
        <w:t xml:space="preserve">vychází </w:t>
      </w:r>
      <w:r>
        <w:t xml:space="preserve">z normových </w:t>
      </w:r>
      <w:r w:rsidRPr="002F034F">
        <w:t xml:space="preserve">vstupních údajů, </w:t>
      </w:r>
      <w:r>
        <w:t xml:space="preserve">jako jsou </w:t>
      </w:r>
      <w:r w:rsidRPr="002F034F">
        <w:t>např</w:t>
      </w:r>
      <w:r>
        <w:t>.</w:t>
      </w:r>
      <w:r w:rsidRPr="002F034F">
        <w:t xml:space="preserve"> doba provozu, využití denního světla apod. Tento </w:t>
      </w:r>
      <w:r w:rsidRPr="00CF053C">
        <w:rPr>
          <w:spacing w:val="-2"/>
        </w:rPr>
        <w:t>způsob hodnocení vypovídá hlavně o tom, jak energeticky účinně je daný objekt navržen. Hodnocení energetické</w:t>
      </w:r>
      <w:r w:rsidRPr="002F034F">
        <w:t xml:space="preserve"> náročnosti pomocí energetického auditu (EA) slouží ke stanovení skutečné energetické náročnosti budov a</w:t>
      </w:r>
      <w:r>
        <w:t> </w:t>
      </w:r>
      <w:r w:rsidRPr="002F034F">
        <w:t>k hledání možných úspor elektrické energie. Bližší informace o</w:t>
      </w:r>
      <w:r>
        <w:t> </w:t>
      </w:r>
      <w:r w:rsidRPr="002F034F">
        <w:t>energetickém auditu jsou uvedeny v</w:t>
      </w:r>
      <w:r>
        <w:t> </w:t>
      </w:r>
      <w:r w:rsidRPr="002F034F">
        <w:t>příloze G.</w:t>
      </w:r>
    </w:p>
    <w:p w14:paraId="6CAD67E0" w14:textId="77777777" w:rsidR="000F4438" w:rsidRPr="00CF053C" w:rsidRDefault="000F4438" w:rsidP="000F4438">
      <w:pPr>
        <w:pStyle w:val="Nadpis1"/>
      </w:pPr>
      <w:r>
        <w:t>2</w:t>
      </w:r>
      <w:r>
        <w:t> </w:t>
      </w:r>
      <w:r w:rsidRPr="00CF053C">
        <w:t>Obecně</w:t>
      </w:r>
    </w:p>
    <w:p w14:paraId="5376EFC4" w14:textId="77777777" w:rsidR="000F4438" w:rsidRPr="002F034F" w:rsidRDefault="000F4438" w:rsidP="00E54F55">
      <w:pPr>
        <w:pStyle w:val="Textnormy"/>
      </w:pPr>
      <w:r w:rsidRPr="002F034F">
        <w:t>Tato technická normalizační informace:</w:t>
      </w:r>
    </w:p>
    <w:p w14:paraId="14D9018E" w14:textId="77777777" w:rsidR="000F4438" w:rsidRPr="002F034F" w:rsidRDefault="000F4438" w:rsidP="00E54F55">
      <w:pPr>
        <w:pStyle w:val="Seznamvnorm"/>
        <w:numPr>
          <w:ilvl w:val="0"/>
          <w:numId w:val="3"/>
        </w:numPr>
        <w:tabs>
          <w:tab w:val="clear" w:pos="360"/>
        </w:tabs>
        <w:ind w:left="284" w:hanging="284"/>
      </w:pPr>
      <w:r w:rsidRPr="002F034F">
        <w:t xml:space="preserve">doplňuje nové informace pro uživatele, které usnadňují </w:t>
      </w:r>
      <w:r>
        <w:t xml:space="preserve">postupy </w:t>
      </w:r>
      <w:r w:rsidRPr="002F034F">
        <w:t>požadované ČSN EN 15193;</w:t>
      </w:r>
    </w:p>
    <w:p w14:paraId="641D65C6" w14:textId="77777777" w:rsidR="000F4438" w:rsidRPr="002F034F" w:rsidRDefault="000F4438" w:rsidP="00E54F55">
      <w:pPr>
        <w:pStyle w:val="Seznamvnorm"/>
        <w:numPr>
          <w:ilvl w:val="0"/>
          <w:numId w:val="3"/>
        </w:numPr>
        <w:tabs>
          <w:tab w:val="clear" w:pos="360"/>
        </w:tabs>
        <w:ind w:left="284" w:hanging="284"/>
      </w:pPr>
      <w:r w:rsidRPr="00CF053C">
        <w:rPr>
          <w:spacing w:val="-2"/>
        </w:rPr>
        <w:t>obsahuje požadavky na postup vyhodnocení užití elektrické energie pro umělé osvětlení v rámci vyhodnocení</w:t>
      </w:r>
      <w:r w:rsidRPr="002F034F">
        <w:t xml:space="preserve"> energetického auditu (dále jen EA).</w:t>
      </w:r>
    </w:p>
    <w:p w14:paraId="56D637D1" w14:textId="77777777" w:rsidR="000F4438" w:rsidRPr="00FD2B7F" w:rsidRDefault="000F4438" w:rsidP="00E54F55">
      <w:pPr>
        <w:pStyle w:val="Textnormy"/>
      </w:pPr>
      <w:r w:rsidRPr="00FD2B7F">
        <w:t>Elektrické rozvody (a</w:t>
      </w:r>
      <w:r>
        <w:t> </w:t>
      </w:r>
      <w:r w:rsidRPr="00FD2B7F">
        <w:t>tedy i</w:t>
      </w:r>
      <w:r>
        <w:t> </w:t>
      </w:r>
      <w:r w:rsidRPr="00FD2B7F">
        <w:t>světelné</w:t>
      </w:r>
      <w:r>
        <w:t xml:space="preserve"> rozvody</w:t>
      </w:r>
      <w:r w:rsidRPr="00FD2B7F">
        <w:t xml:space="preserve"> včetně svítidel</w:t>
      </w:r>
      <w:r>
        <w:t>)</w:t>
      </w:r>
      <w:r w:rsidRPr="00FD2B7F">
        <w:t xml:space="preserve"> musí podle druhu provozu splňovat požadavky</w:t>
      </w:r>
      <w:r>
        <w:t xml:space="preserve"> právního předpisu</w:t>
      </w:r>
      <w:r>
        <w:rPr>
          <w:rStyle w:val="Znakapoznpodarou"/>
        </w:rPr>
        <w:footnoteReference w:customMarkFollows="1" w:id="2"/>
        <w:t>2)</w:t>
      </w:r>
      <w:r w:rsidRPr="00FD2B7F">
        <w:t xml:space="preserve"> minimálně v</w:t>
      </w:r>
      <w:r>
        <w:t> </w:t>
      </w:r>
      <w:r w:rsidRPr="00FD2B7F">
        <w:t>rozsahu</w:t>
      </w:r>
      <w:r>
        <w:t xml:space="preserve"> požadavků na</w:t>
      </w:r>
      <w:r w:rsidRPr="00FD2B7F">
        <w:t>:</w:t>
      </w:r>
    </w:p>
    <w:p w14:paraId="7328336D" w14:textId="77777777" w:rsidR="000F4438" w:rsidRPr="00F364E2" w:rsidRDefault="000F4438" w:rsidP="00E54F55">
      <w:pPr>
        <w:pStyle w:val="Abecednseznam"/>
        <w:numPr>
          <w:ilvl w:val="0"/>
          <w:numId w:val="10"/>
        </w:numPr>
        <w:tabs>
          <w:tab w:val="clear" w:pos="360"/>
        </w:tabs>
      </w:pPr>
      <w:r w:rsidRPr="00F364E2">
        <w:t>bezpečnost osob, zvířat a</w:t>
      </w:r>
      <w:r>
        <w:t> </w:t>
      </w:r>
      <w:r w:rsidRPr="00F364E2">
        <w:t>majetku;</w:t>
      </w:r>
    </w:p>
    <w:p w14:paraId="6849C904" w14:textId="77777777" w:rsidR="000F4438" w:rsidRPr="00F364E2" w:rsidRDefault="000F4438" w:rsidP="00E54F55">
      <w:pPr>
        <w:pStyle w:val="Abecednseznam"/>
        <w:numPr>
          <w:ilvl w:val="0"/>
          <w:numId w:val="10"/>
        </w:numPr>
        <w:tabs>
          <w:tab w:val="clear" w:pos="360"/>
        </w:tabs>
      </w:pPr>
      <w:r w:rsidRPr="00F364E2">
        <w:t>provozní spolehlivost v</w:t>
      </w:r>
      <w:r>
        <w:t> </w:t>
      </w:r>
      <w:r w:rsidRPr="00F364E2">
        <w:t xml:space="preserve">daném prostředí, při </w:t>
      </w:r>
      <w:r>
        <w:t xml:space="preserve">daném </w:t>
      </w:r>
      <w:r w:rsidRPr="00F364E2">
        <w:t>způsobu provozu a</w:t>
      </w:r>
      <w:r>
        <w:t> </w:t>
      </w:r>
      <w:r w:rsidRPr="00F364E2">
        <w:t>vlivu prostředí;</w:t>
      </w:r>
    </w:p>
    <w:p w14:paraId="71B1985C" w14:textId="77777777" w:rsidR="000F4438" w:rsidRPr="00F364E2" w:rsidRDefault="000F4438" w:rsidP="00E54F55">
      <w:pPr>
        <w:pStyle w:val="Abecednseznam"/>
        <w:numPr>
          <w:ilvl w:val="0"/>
          <w:numId w:val="10"/>
        </w:numPr>
        <w:tabs>
          <w:tab w:val="clear" w:pos="360"/>
        </w:tabs>
      </w:pPr>
      <w:r w:rsidRPr="00F364E2">
        <w:t>přehlednost rozvodu umožňující rychlou lokalizaci a</w:t>
      </w:r>
      <w:r>
        <w:t> </w:t>
      </w:r>
      <w:r w:rsidRPr="00F364E2">
        <w:t>odstranění případných poruch;</w:t>
      </w:r>
    </w:p>
    <w:p w14:paraId="452EEF91" w14:textId="77777777" w:rsidR="000F4438" w:rsidRPr="002F034F" w:rsidRDefault="000F4438" w:rsidP="00E54F55">
      <w:pPr>
        <w:pStyle w:val="Abecednseznam"/>
        <w:numPr>
          <w:ilvl w:val="0"/>
          <w:numId w:val="10"/>
        </w:numPr>
        <w:tabs>
          <w:tab w:val="clear" w:pos="360"/>
        </w:tabs>
      </w:pPr>
      <w:r w:rsidRPr="00F364E2">
        <w:t xml:space="preserve">snadnou </w:t>
      </w:r>
      <w:r w:rsidRPr="002F034F">
        <w:t>přizpůsobivo</w:t>
      </w:r>
      <w:r>
        <w:t>st rozvodu při požadovaném přemí</w:t>
      </w:r>
      <w:r w:rsidRPr="002F034F">
        <w:t>sťování elektrických zařízení a</w:t>
      </w:r>
      <w:r>
        <w:t> </w:t>
      </w:r>
      <w:r w:rsidRPr="002F034F">
        <w:t>strojů;</w:t>
      </w:r>
    </w:p>
    <w:p w14:paraId="34A9681E" w14:textId="77777777" w:rsidR="000F4438" w:rsidRPr="002F034F" w:rsidRDefault="000F4438" w:rsidP="00E54F55">
      <w:pPr>
        <w:pStyle w:val="Abecednseznam"/>
        <w:numPr>
          <w:ilvl w:val="0"/>
          <w:numId w:val="10"/>
        </w:numPr>
        <w:tabs>
          <w:tab w:val="clear" w:pos="360"/>
        </w:tabs>
      </w:pPr>
      <w:r w:rsidRPr="002F034F">
        <w:t>dodávku elektrické energie pro zařízení, která musí zůstat funkční při požáru (v</w:t>
      </w:r>
      <w:r>
        <w:t> </w:t>
      </w:r>
      <w:r w:rsidRPr="002F034F">
        <w:t>tomto případě svítidla nouzového osvětlení).</w:t>
      </w:r>
    </w:p>
    <w:p w14:paraId="620C0397" w14:textId="77777777" w:rsidR="000F4438" w:rsidRDefault="000F4438" w:rsidP="00E54F55">
      <w:pPr>
        <w:pStyle w:val="Nadpis1"/>
        <w:pageBreakBefore/>
        <w:spacing w:before="0"/>
      </w:pPr>
      <w:bookmarkStart w:id="1" w:name="_Toc303693676"/>
      <w:r w:rsidRPr="00F4701A">
        <w:lastRenderedPageBreak/>
        <w:t>3</w:t>
      </w:r>
      <w:r w:rsidRPr="00F4701A">
        <w:t> </w:t>
      </w:r>
      <w:r w:rsidRPr="00F4701A">
        <w:t>Termíny a</w:t>
      </w:r>
      <w:r>
        <w:t> </w:t>
      </w:r>
      <w:r w:rsidRPr="00F4701A">
        <w:t>definice</w:t>
      </w:r>
      <w:bookmarkEnd w:id="1"/>
    </w:p>
    <w:p w14:paraId="01F296A5" w14:textId="77777777" w:rsidR="000F4438" w:rsidRPr="00EC183F" w:rsidRDefault="000F4438" w:rsidP="000F4438">
      <w:pPr>
        <w:pStyle w:val="Textnormy"/>
      </w:pPr>
      <w:r>
        <w:t>Pro účely tohoto dokumentu platí dále uvedené temíny a definice.</w:t>
      </w:r>
    </w:p>
    <w:p w14:paraId="70B390AF" w14:textId="5289E2CD" w:rsidR="00DC60DD" w:rsidRDefault="000F4438" w:rsidP="00E54F55">
      <w:pPr>
        <w:pStyle w:val="Textnormy"/>
        <w:spacing w:before="240"/>
      </w:pPr>
      <w:r w:rsidRPr="00F4701A">
        <w:rPr>
          <w:b/>
        </w:rPr>
        <w:t>3.1</w:t>
      </w:r>
      <w:r>
        <w:rPr>
          <w:b/>
        </w:rPr>
        <w:br/>
        <w:t>n</w:t>
      </w:r>
      <w:r w:rsidRPr="00F4701A">
        <w:rPr>
          <w:b/>
        </w:rPr>
        <w:t>ormální osvětlení</w:t>
      </w:r>
      <w:r w:rsidRPr="00F4701A">
        <w:rPr>
          <w:i/>
        </w:rPr>
        <w:tab/>
      </w:r>
      <w:r w:rsidRPr="00F4701A">
        <w:rPr>
          <w:i/>
        </w:rPr>
        <w:br/>
      </w:r>
      <w:r w:rsidRPr="00C4250B">
        <w:t>osvětlení určené k</w:t>
      </w:r>
      <w:r>
        <w:t> </w:t>
      </w:r>
      <w:r w:rsidRPr="00C4250B">
        <w:t>použití v</w:t>
      </w:r>
      <w:r>
        <w:t> </w:t>
      </w:r>
      <w:r w:rsidRPr="00C4250B">
        <w:t>případě bezporuchového provozu napájecí sítě</w:t>
      </w:r>
    </w:p>
    <w:sectPr w:rsidR="00DC60DD" w:rsidSect="009B306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6" w:h="16838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ED2EE" w14:textId="77777777" w:rsidR="004B62DC" w:rsidRDefault="004B62DC">
      <w:r>
        <w:separator/>
      </w:r>
    </w:p>
  </w:endnote>
  <w:endnote w:type="continuationSeparator" w:id="0">
    <w:p w14:paraId="504D8CEA" w14:textId="77777777" w:rsidR="004B62DC" w:rsidRDefault="004B6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BE680" w14:textId="77777777" w:rsidR="00DC60DD" w:rsidRDefault="00DC60DD">
    <w:pPr>
      <w:pStyle w:val="Zpat"/>
      <w:framePr w:wrap="around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BC002E">
      <w:rPr>
        <w:rStyle w:val="slostrnky"/>
        <w:noProof/>
      </w:rPr>
      <w:t>4</w:t>
    </w:r>
    <w:r>
      <w:rPr>
        <w:rStyle w:val="slostrnky"/>
      </w:rPr>
      <w:fldChar w:fldCharType="end"/>
    </w:r>
  </w:p>
  <w:p w14:paraId="4A66ABC5" w14:textId="77777777" w:rsidR="00DC60DD" w:rsidRDefault="00DC60DD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4FEC9" w14:textId="77777777" w:rsidR="00DC60DD" w:rsidRDefault="00DC60DD">
    <w:pPr>
      <w:pStyle w:val="Zpat"/>
      <w:framePr w:wrap="around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BC002E">
      <w:rPr>
        <w:rStyle w:val="slostrnky"/>
        <w:noProof/>
      </w:rPr>
      <w:t>4</w:t>
    </w:r>
    <w:r>
      <w:rPr>
        <w:rStyle w:val="slostrnky"/>
      </w:rPr>
      <w:fldChar w:fldCharType="end"/>
    </w:r>
  </w:p>
  <w:p w14:paraId="0ADF272F" w14:textId="77777777" w:rsidR="00DC60DD" w:rsidRDefault="00DC60DD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566FB" w14:textId="71E8EE7D" w:rsidR="00EC6B63" w:rsidRDefault="00EC6B63" w:rsidP="00EC6B6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2C557139" wp14:editId="36122A2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007248875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C411A" w14:textId="77777777" w:rsidR="00DC60DD" w:rsidRDefault="00DC60D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74A57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F4F69" w14:textId="77777777" w:rsidR="00DC60DD" w:rsidRDefault="00DC60D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6756C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8842A" w14:textId="77777777" w:rsidR="004B62DC" w:rsidRDefault="004B62DC">
      <w:r>
        <w:separator/>
      </w:r>
    </w:p>
  </w:footnote>
  <w:footnote w:type="continuationSeparator" w:id="0">
    <w:p w14:paraId="29639A60" w14:textId="77777777" w:rsidR="004B62DC" w:rsidRDefault="004B62DC">
      <w:r>
        <w:continuationSeparator/>
      </w:r>
    </w:p>
  </w:footnote>
  <w:footnote w:id="1">
    <w:p w14:paraId="0ECEA86C" w14:textId="77777777" w:rsidR="000F4438" w:rsidRPr="00CF053C" w:rsidRDefault="000F4438" w:rsidP="000F4438">
      <w:pPr>
        <w:pStyle w:val="Textpoznpodarou"/>
        <w:ind w:left="300" w:hanging="300"/>
      </w:pPr>
      <w:r w:rsidRPr="00CF053C">
        <w:rPr>
          <w:rStyle w:val="Znakapoznpodarou"/>
          <w:rFonts w:cs="Arial"/>
        </w:rPr>
        <w:t>1)</w:t>
      </w:r>
      <w:r>
        <w:tab/>
      </w:r>
      <w:r w:rsidRPr="00CF053C">
        <w:t>Zákon č.</w:t>
      </w:r>
      <w:r>
        <w:t> </w:t>
      </w:r>
      <w:r w:rsidRPr="00CF053C">
        <w:t>406/2000</w:t>
      </w:r>
      <w:r>
        <w:t> </w:t>
      </w:r>
      <w:r w:rsidRPr="00CF053C">
        <w:t>Sb., vyhláška</w:t>
      </w:r>
      <w:r>
        <w:t xml:space="preserve"> č. </w:t>
      </w:r>
      <w:r w:rsidRPr="00CF053C">
        <w:t>148/2007</w:t>
      </w:r>
      <w:r>
        <w:t> </w:t>
      </w:r>
      <w:r w:rsidRPr="00CF053C">
        <w:t>Sb., vyhláška č.</w:t>
      </w:r>
      <w:r>
        <w:t> </w:t>
      </w:r>
      <w:r w:rsidRPr="00CF053C">
        <w:t>213/2001</w:t>
      </w:r>
      <w:r>
        <w:t> </w:t>
      </w:r>
      <w:r w:rsidRPr="00CF053C">
        <w:t>Sb.</w:t>
      </w:r>
    </w:p>
  </w:footnote>
  <w:footnote w:id="2">
    <w:p w14:paraId="291FE877" w14:textId="77777777" w:rsidR="000F4438" w:rsidRDefault="000F4438" w:rsidP="000F4438">
      <w:pPr>
        <w:pStyle w:val="Textpoznpodarou"/>
        <w:ind w:left="300" w:hanging="300"/>
      </w:pPr>
      <w:r>
        <w:rPr>
          <w:rStyle w:val="Znakapoznpodarou"/>
        </w:rPr>
        <w:t>2)</w:t>
      </w:r>
      <w:r>
        <w:tab/>
        <w:t>Zákon č. 183/2006 Sb.,</w:t>
      </w:r>
      <w:r w:rsidRPr="00312762">
        <w:t xml:space="preserve"> vyhláška </w:t>
      </w:r>
      <w:r>
        <w:t>č. 268/2009 Sb.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1786E" w14:textId="50ED594F" w:rsidR="00DC60DD" w:rsidRDefault="00000000">
    <w:pPr>
      <w:pStyle w:val="Zhlav"/>
    </w:pPr>
    <w:r>
      <w:rPr>
        <w:noProof/>
      </w:rPr>
      <w:pict w14:anchorId="702B872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78D4F" w14:textId="5DE6DC4E" w:rsidR="00DC60DD" w:rsidRDefault="00000000">
    <w:pPr>
      <w:pStyle w:val="Zhlav"/>
      <w:jc w:val="right"/>
    </w:pPr>
    <w:r>
      <w:rPr>
        <w:noProof/>
      </w:rPr>
      <w:pict w14:anchorId="56217D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EC231" w14:textId="41608A37" w:rsidR="00932AF7" w:rsidRDefault="00000000">
    <w:pPr>
      <w:pStyle w:val="Zhlav"/>
    </w:pPr>
    <w:r>
      <w:rPr>
        <w:noProof/>
      </w:rPr>
      <w:pict w14:anchorId="715E153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74BB5" w14:textId="4C85A52E" w:rsidR="00DC60DD" w:rsidRDefault="00000000">
    <w:pPr>
      <w:pStyle w:val="Zhlav"/>
    </w:pPr>
    <w:r>
      <w:rPr>
        <w:noProof/>
      </w:rPr>
      <w:pict w14:anchorId="71C278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TNI </w:t>
    </w:r>
    <w:r w:rsidR="00E54F55">
      <w:t>73 0327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1D1ED" w14:textId="044980DF" w:rsidR="00DC60DD" w:rsidRDefault="00000000">
    <w:pPr>
      <w:pStyle w:val="Zhlav"/>
      <w:jc w:val="right"/>
    </w:pPr>
    <w:r>
      <w:rPr>
        <w:noProof/>
      </w:rPr>
      <w:pict w14:anchorId="771BE5B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C60DD">
      <w:t>TNI </w:t>
    </w:r>
    <w:r w:rsidR="00E54F55">
      <w:t>73 2307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B733F" w14:textId="11AA071B" w:rsidR="00932AF7" w:rsidRDefault="00000000">
    <w:pPr>
      <w:pStyle w:val="Zhlav"/>
    </w:pPr>
    <w:r>
      <w:rPr>
        <w:noProof/>
      </w:rPr>
      <w:pict w14:anchorId="28BA64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560ED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654855B7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63197441">
    <w:abstractNumId w:val="4"/>
  </w:num>
  <w:num w:numId="2" w16cid:durableId="1300257656">
    <w:abstractNumId w:val="5"/>
  </w:num>
  <w:num w:numId="3" w16cid:durableId="153448870">
    <w:abstractNumId w:val="0"/>
  </w:num>
  <w:num w:numId="4" w16cid:durableId="514727634">
    <w:abstractNumId w:val="1"/>
  </w:num>
  <w:num w:numId="5" w16cid:durableId="1567911221">
    <w:abstractNumId w:val="9"/>
  </w:num>
  <w:num w:numId="6" w16cid:durableId="39716578">
    <w:abstractNumId w:val="2"/>
  </w:num>
  <w:num w:numId="7" w16cid:durableId="1905947955">
    <w:abstractNumId w:val="6"/>
  </w:num>
  <w:num w:numId="8" w16cid:durableId="1787650632">
    <w:abstractNumId w:val="9"/>
  </w:num>
  <w:num w:numId="9" w16cid:durableId="1966810423">
    <w:abstractNumId w:val="1"/>
  </w:num>
  <w:num w:numId="10" w16cid:durableId="1244143155">
    <w:abstractNumId w:val="7"/>
  </w:num>
  <w:num w:numId="11" w16cid:durableId="1036927946">
    <w:abstractNumId w:val="5"/>
  </w:num>
  <w:num w:numId="12" w16cid:durableId="1723749050">
    <w:abstractNumId w:val="2"/>
  </w:num>
  <w:num w:numId="13" w16cid:durableId="903951127">
    <w:abstractNumId w:val="4"/>
  </w:num>
  <w:num w:numId="14" w16cid:durableId="1298946896">
    <w:abstractNumId w:val="0"/>
  </w:num>
  <w:num w:numId="15" w16cid:durableId="576748851">
    <w:abstractNumId w:val="9"/>
  </w:num>
  <w:num w:numId="16" w16cid:durableId="57213731">
    <w:abstractNumId w:val="1"/>
  </w:num>
  <w:num w:numId="17" w16cid:durableId="227880056">
    <w:abstractNumId w:val="7"/>
  </w:num>
  <w:num w:numId="18" w16cid:durableId="1500543097">
    <w:abstractNumId w:val="5"/>
  </w:num>
  <w:num w:numId="19" w16cid:durableId="1175418934">
    <w:abstractNumId w:val="2"/>
  </w:num>
  <w:num w:numId="20" w16cid:durableId="939414097">
    <w:abstractNumId w:val="4"/>
  </w:num>
  <w:num w:numId="21" w16cid:durableId="73400622">
    <w:abstractNumId w:val="0"/>
  </w:num>
  <w:num w:numId="22" w16cid:durableId="1371111318">
    <w:abstractNumId w:val="8"/>
  </w:num>
  <w:num w:numId="23" w16cid:durableId="38079312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438"/>
    <w:rsid w:val="0000077E"/>
    <w:rsid w:val="00001595"/>
    <w:rsid w:val="00001D9B"/>
    <w:rsid w:val="00002031"/>
    <w:rsid w:val="00007D08"/>
    <w:rsid w:val="00014DD5"/>
    <w:rsid w:val="00027E09"/>
    <w:rsid w:val="00030ECC"/>
    <w:rsid w:val="0005082C"/>
    <w:rsid w:val="00074E0C"/>
    <w:rsid w:val="00075499"/>
    <w:rsid w:val="00090665"/>
    <w:rsid w:val="000B24AC"/>
    <w:rsid w:val="000F4438"/>
    <w:rsid w:val="00103A91"/>
    <w:rsid w:val="0011625A"/>
    <w:rsid w:val="00127E31"/>
    <w:rsid w:val="00163E56"/>
    <w:rsid w:val="001654D9"/>
    <w:rsid w:val="001972AD"/>
    <w:rsid w:val="001A5A37"/>
    <w:rsid w:val="001C1427"/>
    <w:rsid w:val="001C444E"/>
    <w:rsid w:val="001E6614"/>
    <w:rsid w:val="0020627E"/>
    <w:rsid w:val="002105D9"/>
    <w:rsid w:val="0021277B"/>
    <w:rsid w:val="0021324C"/>
    <w:rsid w:val="002150EF"/>
    <w:rsid w:val="00222295"/>
    <w:rsid w:val="002240D9"/>
    <w:rsid w:val="00237EF6"/>
    <w:rsid w:val="00256085"/>
    <w:rsid w:val="00256709"/>
    <w:rsid w:val="00281FD8"/>
    <w:rsid w:val="00295031"/>
    <w:rsid w:val="002A43A0"/>
    <w:rsid w:val="002B18DA"/>
    <w:rsid w:val="002C3E30"/>
    <w:rsid w:val="00303DD6"/>
    <w:rsid w:val="003078B0"/>
    <w:rsid w:val="00313902"/>
    <w:rsid w:val="00350ED6"/>
    <w:rsid w:val="00357D76"/>
    <w:rsid w:val="00370A57"/>
    <w:rsid w:val="003844D3"/>
    <w:rsid w:val="003A07A8"/>
    <w:rsid w:val="003F3E43"/>
    <w:rsid w:val="00406F6C"/>
    <w:rsid w:val="00407525"/>
    <w:rsid w:val="00422D58"/>
    <w:rsid w:val="0043021A"/>
    <w:rsid w:val="004508C2"/>
    <w:rsid w:val="00457E2D"/>
    <w:rsid w:val="004B62DC"/>
    <w:rsid w:val="00544FB3"/>
    <w:rsid w:val="0054766D"/>
    <w:rsid w:val="005A2143"/>
    <w:rsid w:val="005D2219"/>
    <w:rsid w:val="005F6BB7"/>
    <w:rsid w:val="00611B28"/>
    <w:rsid w:val="00612FC3"/>
    <w:rsid w:val="006261E2"/>
    <w:rsid w:val="0063626A"/>
    <w:rsid w:val="00640BF6"/>
    <w:rsid w:val="006503B3"/>
    <w:rsid w:val="00654810"/>
    <w:rsid w:val="00674A57"/>
    <w:rsid w:val="006B7972"/>
    <w:rsid w:val="00704673"/>
    <w:rsid w:val="00707E0F"/>
    <w:rsid w:val="00730962"/>
    <w:rsid w:val="007354CE"/>
    <w:rsid w:val="00745EDC"/>
    <w:rsid w:val="00762E10"/>
    <w:rsid w:val="0077543C"/>
    <w:rsid w:val="00775516"/>
    <w:rsid w:val="00782CE0"/>
    <w:rsid w:val="007A1180"/>
    <w:rsid w:val="007A1B07"/>
    <w:rsid w:val="007A3262"/>
    <w:rsid w:val="007E433A"/>
    <w:rsid w:val="007E4F2F"/>
    <w:rsid w:val="007E7D66"/>
    <w:rsid w:val="00817038"/>
    <w:rsid w:val="00822F44"/>
    <w:rsid w:val="00837374"/>
    <w:rsid w:val="00850729"/>
    <w:rsid w:val="0086756C"/>
    <w:rsid w:val="008D072D"/>
    <w:rsid w:val="00932AF7"/>
    <w:rsid w:val="00935B2E"/>
    <w:rsid w:val="00952A02"/>
    <w:rsid w:val="00955E05"/>
    <w:rsid w:val="00967507"/>
    <w:rsid w:val="009A4150"/>
    <w:rsid w:val="009B306E"/>
    <w:rsid w:val="009B7FA5"/>
    <w:rsid w:val="009E4EE3"/>
    <w:rsid w:val="009E6C1A"/>
    <w:rsid w:val="00A01982"/>
    <w:rsid w:val="00A052B1"/>
    <w:rsid w:val="00A4576A"/>
    <w:rsid w:val="00A96659"/>
    <w:rsid w:val="00AA5CFC"/>
    <w:rsid w:val="00AE79FD"/>
    <w:rsid w:val="00B03302"/>
    <w:rsid w:val="00B235E8"/>
    <w:rsid w:val="00B824D0"/>
    <w:rsid w:val="00BC002E"/>
    <w:rsid w:val="00BC3F63"/>
    <w:rsid w:val="00BD6D5D"/>
    <w:rsid w:val="00BE27F2"/>
    <w:rsid w:val="00BF1AA0"/>
    <w:rsid w:val="00C06F7A"/>
    <w:rsid w:val="00C115D8"/>
    <w:rsid w:val="00C545A5"/>
    <w:rsid w:val="00C55306"/>
    <w:rsid w:val="00CB5FE6"/>
    <w:rsid w:val="00CB7F79"/>
    <w:rsid w:val="00CC015B"/>
    <w:rsid w:val="00CC1DA5"/>
    <w:rsid w:val="00CF4D53"/>
    <w:rsid w:val="00D0735F"/>
    <w:rsid w:val="00DA4C00"/>
    <w:rsid w:val="00DC505E"/>
    <w:rsid w:val="00DC60DD"/>
    <w:rsid w:val="00DD7F22"/>
    <w:rsid w:val="00DE3D32"/>
    <w:rsid w:val="00DE3DE9"/>
    <w:rsid w:val="00E15EEC"/>
    <w:rsid w:val="00E17527"/>
    <w:rsid w:val="00E54F55"/>
    <w:rsid w:val="00E66465"/>
    <w:rsid w:val="00E804E7"/>
    <w:rsid w:val="00EC16B6"/>
    <w:rsid w:val="00EC30D9"/>
    <w:rsid w:val="00EC6B63"/>
    <w:rsid w:val="00ED23D5"/>
    <w:rsid w:val="00ED3D1B"/>
    <w:rsid w:val="00ED7995"/>
    <w:rsid w:val="00F02002"/>
    <w:rsid w:val="00F06C5F"/>
    <w:rsid w:val="00F40734"/>
    <w:rsid w:val="00F51060"/>
    <w:rsid w:val="00F9095F"/>
    <w:rsid w:val="00FA30E4"/>
    <w:rsid w:val="00FD103E"/>
    <w:rsid w:val="00FD1A47"/>
    <w:rsid w:val="00FD4799"/>
    <w:rsid w:val="00FF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6CA70A17"/>
  <w15:chartTrackingRefBased/>
  <w15:docId w15:val="{CC0F1AB4-3D7D-4FF6-9981-2EE99EB8C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envelope address" w:semiHidden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 w:unhideWhenUsed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56085"/>
  </w:style>
  <w:style w:type="paragraph" w:styleId="Nadpis1">
    <w:name w:val="heading 1"/>
    <w:basedOn w:val="Nadpiskapitoly"/>
    <w:next w:val="Textnormy"/>
    <w:link w:val="Nadpis1Char"/>
    <w:qFormat/>
    <w:rsid w:val="00256085"/>
    <w:pPr>
      <w:outlineLvl w:val="0"/>
    </w:pPr>
  </w:style>
  <w:style w:type="paragraph" w:styleId="Nadpis2">
    <w:name w:val="heading 2"/>
    <w:basedOn w:val="Nadpislnku"/>
    <w:next w:val="Textnormy"/>
    <w:qFormat/>
    <w:rsid w:val="00256085"/>
    <w:pPr>
      <w:outlineLvl w:val="1"/>
    </w:pPr>
  </w:style>
  <w:style w:type="paragraph" w:styleId="Nadpis3">
    <w:name w:val="heading 3"/>
    <w:basedOn w:val="Nadpislnku"/>
    <w:next w:val="Textnormy"/>
    <w:qFormat/>
    <w:rsid w:val="00256085"/>
    <w:pPr>
      <w:outlineLvl w:val="2"/>
    </w:pPr>
  </w:style>
  <w:style w:type="paragraph" w:styleId="Nadpis4">
    <w:name w:val="heading 4"/>
    <w:basedOn w:val="Nadpislnku"/>
    <w:next w:val="Textnormy"/>
    <w:qFormat/>
    <w:rsid w:val="00256085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256085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256085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256085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256085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256085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56085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56085"/>
  </w:style>
  <w:style w:type="paragraph" w:customStyle="1" w:styleId="Nadpiskapitoly">
    <w:name w:val="Nadpis kapitoly"/>
    <w:basedOn w:val="Nadpislnku"/>
    <w:next w:val="Textnormy"/>
    <w:link w:val="NadpiskapitolyChar"/>
    <w:rsid w:val="00256085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56085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56085"/>
    <w:pPr>
      <w:spacing w:after="120"/>
      <w:jc w:val="both"/>
    </w:pPr>
  </w:style>
  <w:style w:type="paragraph" w:customStyle="1" w:styleId="1StrTrZn">
    <w:name w:val="1StrTrZn"/>
    <w:basedOn w:val="Textnormy"/>
    <w:rsid w:val="00256085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56085"/>
    <w:pPr>
      <w:spacing w:before="480"/>
    </w:pPr>
  </w:style>
  <w:style w:type="paragraph" w:customStyle="1" w:styleId="Cizojazynnzev">
    <w:name w:val="Cizojazyčný název"/>
    <w:basedOn w:val="Textnormy"/>
    <w:rsid w:val="00256085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56085"/>
    <w:pPr>
      <w:numPr>
        <w:numId w:val="20"/>
      </w:numPr>
    </w:pPr>
  </w:style>
  <w:style w:type="paragraph" w:styleId="Rejstk1">
    <w:name w:val="index 1"/>
    <w:basedOn w:val="Textnormy"/>
    <w:next w:val="Textnormy"/>
    <w:rsid w:val="00256085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56085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56085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256085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56085"/>
    <w:pPr>
      <w:spacing w:before="0" w:after="120"/>
      <w:ind w:left="284" w:hanging="284"/>
    </w:pPr>
  </w:style>
  <w:style w:type="paragraph" w:styleId="Zhlav">
    <w:name w:val="header"/>
    <w:basedOn w:val="Textnormy"/>
    <w:rsid w:val="00256085"/>
    <w:pPr>
      <w:spacing w:after="360"/>
    </w:pPr>
    <w:rPr>
      <w:sz w:val="18"/>
    </w:rPr>
  </w:style>
  <w:style w:type="paragraph" w:styleId="Zpat">
    <w:name w:val="footer"/>
    <w:basedOn w:val="Textnormy"/>
    <w:rsid w:val="00256085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256085"/>
    <w:pPr>
      <w:spacing w:after="120"/>
    </w:pPr>
  </w:style>
  <w:style w:type="paragraph" w:styleId="Obsah2">
    <w:name w:val="toc 2"/>
    <w:basedOn w:val="Obsah1"/>
    <w:next w:val="Textnormy"/>
    <w:uiPriority w:val="39"/>
    <w:rsid w:val="00256085"/>
  </w:style>
  <w:style w:type="paragraph" w:styleId="Obsah1">
    <w:name w:val="toc 1"/>
    <w:basedOn w:val="Textnormy"/>
    <w:next w:val="Textnormy"/>
    <w:uiPriority w:val="39"/>
    <w:rsid w:val="00256085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semiHidden/>
    <w:rsid w:val="00256085"/>
  </w:style>
  <w:style w:type="paragraph" w:styleId="Obsah3">
    <w:name w:val="toc 3"/>
    <w:basedOn w:val="Obsah1"/>
    <w:next w:val="Textnormy"/>
    <w:rsid w:val="00256085"/>
  </w:style>
  <w:style w:type="paragraph" w:styleId="Obsah4">
    <w:name w:val="toc 4"/>
    <w:basedOn w:val="Obsah1"/>
    <w:next w:val="Textnormy"/>
    <w:rsid w:val="00256085"/>
  </w:style>
  <w:style w:type="paragraph" w:styleId="Obsah6">
    <w:name w:val="toc 6"/>
    <w:basedOn w:val="Obsah1"/>
    <w:next w:val="Textnormy"/>
    <w:semiHidden/>
    <w:rsid w:val="00256085"/>
  </w:style>
  <w:style w:type="paragraph" w:styleId="Obsah7">
    <w:name w:val="toc 7"/>
    <w:basedOn w:val="Obsah1"/>
    <w:next w:val="Textnormy"/>
    <w:semiHidden/>
    <w:rsid w:val="00256085"/>
  </w:style>
  <w:style w:type="paragraph" w:styleId="Obsah8">
    <w:name w:val="toc 8"/>
    <w:basedOn w:val="Obsah1"/>
    <w:next w:val="Textnormy"/>
    <w:semiHidden/>
    <w:rsid w:val="00256085"/>
  </w:style>
  <w:style w:type="paragraph" w:styleId="Obsah9">
    <w:name w:val="toc 9"/>
    <w:basedOn w:val="Normln"/>
    <w:next w:val="Normln"/>
    <w:autoRedefine/>
    <w:semiHidden/>
    <w:rsid w:val="00256085"/>
    <w:pPr>
      <w:ind w:left="1600"/>
    </w:pPr>
  </w:style>
  <w:style w:type="paragraph" w:customStyle="1" w:styleId="Abecednseznam">
    <w:name w:val="Abecední seznam"/>
    <w:basedOn w:val="Textnormy"/>
    <w:rsid w:val="00256085"/>
    <w:pPr>
      <w:numPr>
        <w:numId w:val="17"/>
      </w:numPr>
      <w:tabs>
        <w:tab w:val="clear" w:pos="360"/>
      </w:tabs>
    </w:pPr>
  </w:style>
  <w:style w:type="paragraph" w:customStyle="1" w:styleId="slovanseznamvnorm">
    <w:name w:val="Číslovaný seznam v normě"/>
    <w:basedOn w:val="Textnormy"/>
    <w:rsid w:val="00256085"/>
    <w:pPr>
      <w:numPr>
        <w:numId w:val="18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256085"/>
    <w:pPr>
      <w:numPr>
        <w:numId w:val="21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256085"/>
    <w:pPr>
      <w:keepNext/>
      <w:spacing w:after="160"/>
      <w:jc w:val="center"/>
    </w:pPr>
  </w:style>
  <w:style w:type="paragraph" w:styleId="Titulek">
    <w:name w:val="caption"/>
    <w:basedOn w:val="Normln"/>
    <w:next w:val="Normln"/>
    <w:unhideWhenUsed/>
    <w:qFormat/>
    <w:rsid w:val="00256085"/>
    <w:pPr>
      <w:spacing w:before="120" w:after="120"/>
    </w:pPr>
    <w:rPr>
      <w:b/>
    </w:rPr>
  </w:style>
  <w:style w:type="paragraph" w:customStyle="1" w:styleId="1StrNN-1-23">
    <w:name w:val="1StrNN-1-23"/>
    <w:basedOn w:val="Textnormy"/>
    <w:rsid w:val="00256085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styleId="Textpoznpodarou">
    <w:name w:val="footnote text"/>
    <w:basedOn w:val="Poznmka"/>
    <w:link w:val="TextpoznpodarouChar"/>
    <w:rsid w:val="00256085"/>
    <w:pPr>
      <w:spacing w:before="60" w:after="0"/>
    </w:pPr>
  </w:style>
  <w:style w:type="paragraph" w:customStyle="1" w:styleId="1StrCN">
    <w:name w:val="1StrCN"/>
    <w:basedOn w:val="Textnormy"/>
    <w:next w:val="1StrTrZn"/>
    <w:rsid w:val="00256085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1Rad">
    <w:name w:val="1Str1Rad"/>
    <w:basedOn w:val="Textnormy"/>
    <w:rsid w:val="00256085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56085"/>
    <w:pPr>
      <w:spacing w:after="0"/>
      <w:jc w:val="left"/>
    </w:pPr>
    <w:rPr>
      <w:sz w:val="28"/>
    </w:rPr>
  </w:style>
  <w:style w:type="paragraph" w:styleId="Zptenadresanaoblku">
    <w:name w:val="envelope return"/>
    <w:basedOn w:val="Normln"/>
    <w:semiHidden/>
    <w:rsid w:val="00256085"/>
  </w:style>
  <w:style w:type="paragraph" w:styleId="Hlavikarejstku">
    <w:name w:val="index heading"/>
    <w:basedOn w:val="Textnormy"/>
    <w:next w:val="Rejstk1"/>
    <w:rsid w:val="00256085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56085"/>
    <w:pPr>
      <w:suppressAutoHyphens/>
      <w:spacing w:before="60" w:after="60"/>
      <w:jc w:val="left"/>
    </w:pPr>
    <w:rPr>
      <w:sz w:val="18"/>
    </w:rPr>
  </w:style>
  <w:style w:type="paragraph" w:customStyle="1" w:styleId="bibliografie">
    <w:name w:val="bibliografie"/>
    <w:basedOn w:val="slovanseznamvnorm"/>
    <w:next w:val="Textnormy"/>
    <w:rsid w:val="00256085"/>
    <w:pPr>
      <w:numPr>
        <w:numId w:val="19"/>
      </w:numPr>
      <w:tabs>
        <w:tab w:val="clear" w:pos="360"/>
      </w:tabs>
      <w:ind w:left="567" w:hanging="567"/>
    </w:pPr>
  </w:style>
  <w:style w:type="paragraph" w:customStyle="1" w:styleId="EvropNorma">
    <w:name w:val="EvropNorma"/>
    <w:basedOn w:val="Textnormy"/>
    <w:rsid w:val="00256085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56085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56085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56085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56085"/>
    <w:pPr>
      <w:tabs>
        <w:tab w:val="left" w:pos="4536"/>
      </w:tabs>
      <w:suppressAutoHyphens/>
      <w:spacing w:after="480"/>
      <w:jc w:val="left"/>
    </w:pPr>
  </w:style>
  <w:style w:type="paragraph" w:customStyle="1" w:styleId="1StrCopyright">
    <w:name w:val="1StrCopyright"/>
    <w:basedOn w:val="Zpat"/>
    <w:rsid w:val="00256085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1StrNN-3-23">
    <w:name w:val="1StrNN-3-23"/>
    <w:basedOn w:val="1StrNN-1-23"/>
    <w:rsid w:val="00256085"/>
    <w:pPr>
      <w:spacing w:before="300"/>
    </w:pPr>
  </w:style>
  <w:style w:type="paragraph" w:customStyle="1" w:styleId="1StrNN-X">
    <w:name w:val="1StrNN-X"/>
    <w:basedOn w:val="1StrNN-1-23"/>
    <w:rsid w:val="00256085"/>
    <w:pPr>
      <w:spacing w:before="180" w:after="180"/>
    </w:pPr>
  </w:style>
  <w:style w:type="paragraph" w:customStyle="1" w:styleId="TextnormyUS">
    <w:name w:val="Text normy US"/>
    <w:basedOn w:val="Textnormy"/>
    <w:autoRedefine/>
    <w:rsid w:val="00256085"/>
    <w:pPr>
      <w:spacing w:after="0"/>
    </w:pPr>
    <w:rPr>
      <w:noProof/>
    </w:rPr>
  </w:style>
  <w:style w:type="paragraph" w:customStyle="1" w:styleId="1StrNN-1-4">
    <w:name w:val="1StrNN-1-4"/>
    <w:basedOn w:val="1StrNN-1-23"/>
    <w:rsid w:val="00256085"/>
    <w:pPr>
      <w:spacing w:before="800"/>
    </w:pPr>
  </w:style>
  <w:style w:type="paragraph" w:customStyle="1" w:styleId="1StrNN-2-4">
    <w:name w:val="1StrNN-2-4"/>
    <w:basedOn w:val="1StrNN-1-23"/>
    <w:rsid w:val="00256085"/>
  </w:style>
  <w:style w:type="paragraph" w:customStyle="1" w:styleId="1StrNN-3-4">
    <w:name w:val="1StrNN-3-4"/>
    <w:basedOn w:val="1StrNN-1-23"/>
    <w:rsid w:val="00256085"/>
    <w:pPr>
      <w:spacing w:before="460"/>
    </w:pPr>
  </w:style>
  <w:style w:type="paragraph" w:customStyle="1" w:styleId="1StrNN-4-4">
    <w:name w:val="1StrNN-4-4"/>
    <w:basedOn w:val="1StrNN-1-23"/>
    <w:rsid w:val="00256085"/>
    <w:pPr>
      <w:spacing w:before="340"/>
    </w:pPr>
  </w:style>
  <w:style w:type="paragraph" w:customStyle="1" w:styleId="Copyright">
    <w:name w:val="Copyright"/>
    <w:basedOn w:val="Textnormy"/>
    <w:next w:val="Textnormy"/>
    <w:rsid w:val="00256085"/>
    <w:pPr>
      <w:framePr w:hSpace="142" w:wrap="notBeside" w:vAnchor="page" w:hAnchor="margin" w:y="15707"/>
      <w:tabs>
        <w:tab w:val="right" w:pos="9894"/>
      </w:tabs>
      <w:spacing w:before="180"/>
    </w:pPr>
  </w:style>
  <w:style w:type="paragraph" w:customStyle="1" w:styleId="Textnormy1str">
    <w:name w:val="Text normy 1str"/>
    <w:basedOn w:val="Textnormy"/>
    <w:rsid w:val="00256085"/>
    <w:pPr>
      <w:jc w:val="left"/>
    </w:pPr>
  </w:style>
  <w:style w:type="paragraph" w:customStyle="1" w:styleId="1StrNN-4-3">
    <w:name w:val="1StrNN-4-3"/>
    <w:basedOn w:val="1StrNN-1-23"/>
    <w:rsid w:val="00256085"/>
    <w:pPr>
      <w:spacing w:before="160"/>
    </w:pPr>
  </w:style>
  <w:style w:type="paragraph" w:customStyle="1" w:styleId="ABCseznamCZ">
    <w:name w:val="ABC seznamCZ"/>
    <w:basedOn w:val="Textnormy"/>
    <w:rsid w:val="00256085"/>
    <w:pPr>
      <w:numPr>
        <w:numId w:val="15"/>
      </w:numPr>
    </w:pPr>
  </w:style>
  <w:style w:type="paragraph" w:customStyle="1" w:styleId="ABCSeznamUS">
    <w:name w:val="ABC SeznamUS"/>
    <w:basedOn w:val="Textnormy"/>
    <w:rsid w:val="00256085"/>
    <w:pPr>
      <w:numPr>
        <w:numId w:val="16"/>
      </w:numPr>
      <w:tabs>
        <w:tab w:val="clear" w:pos="360"/>
      </w:tabs>
    </w:pPr>
    <w:rPr>
      <w:snapToGrid w:val="0"/>
      <w:lang w:val="en-US"/>
    </w:rPr>
  </w:style>
  <w:style w:type="character" w:styleId="Znakapoznpodarou">
    <w:name w:val="footnote reference"/>
    <w:basedOn w:val="Standardnpsmoodstavce"/>
    <w:rsid w:val="00256085"/>
    <w:rPr>
      <w:vertAlign w:val="superscript"/>
    </w:rPr>
  </w:style>
  <w:style w:type="paragraph" w:customStyle="1" w:styleId="Tir">
    <w:name w:val="Tiráž"/>
    <w:basedOn w:val="Normln"/>
    <w:rsid w:val="00256085"/>
    <w:pPr>
      <w:framePr w:w="9356" w:hSpace="142" w:wrap="around" w:hAnchor="margin" w:yAlign="bottom" w:anchorLock="1"/>
    </w:pPr>
    <w:rPr>
      <w:noProof/>
      <w:sz w:val="16"/>
    </w:rPr>
  </w:style>
  <w:style w:type="paragraph" w:customStyle="1" w:styleId="Upozornn">
    <w:name w:val="Upozornění"/>
    <w:basedOn w:val="Normln"/>
    <w:rsid w:val="00256085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locked/>
    <w:rsid w:val="00256085"/>
  </w:style>
  <w:style w:type="character" w:styleId="Hypertextovodkaz">
    <w:name w:val="Hyperlink"/>
    <w:unhideWhenUsed/>
    <w:rsid w:val="00256085"/>
    <w:rPr>
      <w:color w:val="0000FF"/>
      <w:u w:val="single"/>
    </w:rPr>
  </w:style>
  <w:style w:type="table" w:styleId="Mkatabulky">
    <w:name w:val="Table Grid"/>
    <w:basedOn w:val="Normlntabulka"/>
    <w:rsid w:val="00256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256085"/>
    <w:rPr>
      <w:b/>
      <w:sz w:val="24"/>
    </w:rPr>
  </w:style>
  <w:style w:type="character" w:styleId="Odkaznakoment">
    <w:name w:val="annotation reference"/>
    <w:basedOn w:val="Standardnpsmoodstavce"/>
    <w:semiHidden/>
    <w:rsid w:val="00256085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25608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25608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256085"/>
  </w:style>
  <w:style w:type="character" w:customStyle="1" w:styleId="TextkomenteChar">
    <w:name w:val="Text komentáře Char"/>
    <w:basedOn w:val="Standardnpsmoodstavce"/>
    <w:link w:val="Textkomente"/>
    <w:semiHidden/>
    <w:rsid w:val="00256085"/>
  </w:style>
  <w:style w:type="character" w:customStyle="1" w:styleId="TextnormyCharChar">
    <w:name w:val="Text normy Char Char"/>
    <w:semiHidden/>
    <w:rsid w:val="00256085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256085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5608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56085"/>
    <w:rPr>
      <w:b/>
      <w:bCs/>
    </w:rPr>
  </w:style>
  <w:style w:type="paragraph" w:customStyle="1" w:styleId="NadpisObr">
    <w:name w:val="NadpisObr"/>
    <w:basedOn w:val="Nadpis4"/>
    <w:next w:val="Textnormy"/>
    <w:qFormat/>
    <w:rsid w:val="00256085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256085"/>
    <w:pPr>
      <w:jc w:val="center"/>
    </w:pPr>
  </w:style>
  <w:style w:type="character" w:customStyle="1" w:styleId="NadpislnkuChar1">
    <w:name w:val="Nadpis článku Char1"/>
    <w:locked/>
    <w:rsid w:val="000F4438"/>
    <w:rPr>
      <w:b/>
    </w:rPr>
  </w:style>
  <w:style w:type="character" w:customStyle="1" w:styleId="TextpoznpodarouChar">
    <w:name w:val="Text pozn. pod čarou Char"/>
    <w:link w:val="Textpoznpodarou"/>
    <w:locked/>
    <w:rsid w:val="000F4438"/>
    <w:rPr>
      <w:sz w:val="18"/>
    </w:rPr>
  </w:style>
  <w:style w:type="character" w:customStyle="1" w:styleId="PoznmkaChar">
    <w:name w:val="Poznámka Char"/>
    <w:link w:val="Poznmka"/>
    <w:locked/>
    <w:rsid w:val="000F4438"/>
    <w:rPr>
      <w:sz w:val="18"/>
    </w:rPr>
  </w:style>
  <w:style w:type="character" w:customStyle="1" w:styleId="NadpiskapitolyChar">
    <w:name w:val="Nadpis kapitoly Char"/>
    <w:link w:val="Nadpiskapitoly"/>
    <w:locked/>
    <w:rsid w:val="000F4438"/>
    <w:rPr>
      <w:b/>
      <w:sz w:val="24"/>
    </w:rPr>
  </w:style>
  <w:style w:type="character" w:customStyle="1" w:styleId="NadpislnkuChar">
    <w:name w:val="Nadpis článku Char"/>
    <w:link w:val="Nadpislnku"/>
    <w:rsid w:val="00256085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47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Edicni\SABLONY\Aktualni\TN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TNI.dotx</Template>
  <TotalTime>23</TotalTime>
  <Pages>5</Pages>
  <Words>1128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Ediční oddělení</dc:creator>
  <cp:keywords/>
  <dc:description/>
  <cp:lastModifiedBy>Koutská Miloslava</cp:lastModifiedBy>
  <cp:revision>11</cp:revision>
  <cp:lastPrinted>2020-10-29T07:45:00Z</cp:lastPrinted>
  <dcterms:created xsi:type="dcterms:W3CDTF">2024-01-08T07:12:00Z</dcterms:created>
  <dcterms:modified xsi:type="dcterms:W3CDTF">2025-02-04T07:41:00Z</dcterms:modified>
</cp:coreProperties>
</file>