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92C07" w14:textId="77777777" w:rsidR="005E5D70" w:rsidRPr="00244A62" w:rsidRDefault="005E5D70" w:rsidP="00AA7871">
      <w:pPr>
        <w:pStyle w:val="esknorma"/>
      </w:pPr>
      <w:r w:rsidRPr="00244A62">
        <w:t>TECHNICKÁ NORMALIZAČNÍ INFORMACE</w:t>
      </w:r>
      <w:r w:rsidRPr="00244A62">
        <w:rPr>
          <w:noProof/>
        </w:rPr>
        <w:t xml:space="preserve"> </w:t>
      </w:r>
    </w:p>
    <w:p w14:paraId="6B1AF004" w14:textId="77777777" w:rsidR="005E5D70" w:rsidRPr="00244A62" w:rsidRDefault="00C157AE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776873">
        <w:rPr>
          <w:sz w:val="16"/>
        </w:rPr>
        <w:t>13.110; 25.040.99; 25.040.40</w:t>
      </w:r>
      <w:r w:rsidR="005E5D70" w:rsidRPr="00244A62">
        <w:tab/>
      </w:r>
      <w:r w:rsidR="005E5D70" w:rsidRPr="00244A62">
        <w:tab/>
      </w:r>
      <w:r w:rsidR="005E5D70" w:rsidRPr="00244A62">
        <w:rPr>
          <w:b/>
        </w:rPr>
        <w:t xml:space="preserve">Měsíc </w:t>
      </w:r>
      <w:r w:rsidR="00776873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04"/>
        <w:gridCol w:w="3119"/>
      </w:tblGrid>
      <w:tr w:rsidR="00AC249F" w:rsidRPr="00244A62" w14:paraId="45F5AC03" w14:textId="77777777" w:rsidTr="00AC249F">
        <w:trPr>
          <w:cantSplit/>
          <w:trHeight w:val="1701"/>
        </w:trPr>
        <w:tc>
          <w:tcPr>
            <w:tcW w:w="6804" w:type="dxa"/>
          </w:tcPr>
          <w:p w14:paraId="0376C3BD" w14:textId="77777777" w:rsidR="00AC249F" w:rsidRPr="00244A62" w:rsidRDefault="00776873" w:rsidP="00776873">
            <w:pPr>
              <w:pStyle w:val="1StrNN-3-23"/>
            </w:pPr>
            <w:r>
              <w:t>Návod na použití ISO 13849-1 a IEC 62061</w:t>
            </w:r>
            <w:r>
              <w:br/>
              <w:t>při návrhu řídicích systémů souvisejících s bezpečností pro strojní zařízení</w:t>
            </w:r>
          </w:p>
        </w:tc>
        <w:tc>
          <w:tcPr>
            <w:tcW w:w="3119" w:type="dxa"/>
          </w:tcPr>
          <w:p w14:paraId="7E3FEDEB" w14:textId="77777777" w:rsidR="00AC249F" w:rsidRPr="00244A62" w:rsidRDefault="00776873">
            <w:pPr>
              <w:pStyle w:val="1StrCN"/>
              <w:rPr>
                <w:b w:val="0"/>
                <w:sz w:val="28"/>
              </w:rPr>
            </w:pPr>
            <w:r>
              <w:t>TNI</w:t>
            </w:r>
            <w:r>
              <w:br/>
              <w:t>CLC IEC/TR 62061-1</w:t>
            </w:r>
            <w:r w:rsidR="00AC249F" w:rsidRPr="00244A62">
              <w:br/>
            </w:r>
          </w:p>
          <w:p w14:paraId="75973C6A" w14:textId="77777777" w:rsidR="00AC249F" w:rsidRPr="00244A62" w:rsidRDefault="00776873">
            <w:pPr>
              <w:pStyle w:val="1StrTrZn"/>
            </w:pPr>
            <w:r>
              <w:t>33 2208</w:t>
            </w:r>
          </w:p>
        </w:tc>
      </w:tr>
    </w:tbl>
    <w:p w14:paraId="7CD4D284" w14:textId="77777777" w:rsidR="005E5D70" w:rsidRPr="00244A62" w:rsidRDefault="00776873">
      <w:pPr>
        <w:pStyle w:val="Shodnost"/>
      </w:pPr>
      <w:r>
        <w:t>idt IEC/TR 62061-1:2010</w:t>
      </w:r>
    </w:p>
    <w:p w14:paraId="0B9D1395" w14:textId="77777777" w:rsidR="00776873" w:rsidRPr="00DE1329" w:rsidRDefault="00776873" w:rsidP="00776873">
      <w:pPr>
        <w:pStyle w:val="Cizojazynnzev"/>
      </w:pPr>
      <w:r w:rsidRPr="00DE1329">
        <w:t>Guidance on the application of ISO 13849-1 and IEC 62061 in the design of safety-related control systems for machinery</w:t>
      </w:r>
    </w:p>
    <w:p w14:paraId="2404F7E6" w14:textId="77777777" w:rsidR="00776873" w:rsidRPr="00DE1329" w:rsidRDefault="00776873" w:rsidP="00776873">
      <w:pPr>
        <w:pStyle w:val="Cizojazynnzev"/>
        <w:rPr>
          <w:lang w:val="fr-FR"/>
        </w:rPr>
      </w:pPr>
      <w:r w:rsidRPr="00DE1329">
        <w:rPr>
          <w:lang w:val="fr-FR"/>
        </w:rPr>
        <w:t xml:space="preserve">Directives relatives </w:t>
      </w:r>
      <w:r w:rsidRPr="00DE1329">
        <w:rPr>
          <w:rFonts w:cs="Arial"/>
          <w:lang w:val="fr-FR"/>
        </w:rPr>
        <w:t>à </w:t>
      </w:r>
      <w:r w:rsidRPr="00DE1329">
        <w:rPr>
          <w:lang w:val="fr-FR"/>
        </w:rPr>
        <w:t>l</w:t>
      </w:r>
      <w:r w:rsidRPr="00DE1329">
        <w:rPr>
          <w:rFonts w:cs="Arial"/>
          <w:lang w:val="fr-FR"/>
        </w:rPr>
        <w:t xml:space="preserve">’application de </w:t>
      </w:r>
      <w:r w:rsidRPr="00DE1329">
        <w:rPr>
          <w:lang w:val="fr-FR"/>
        </w:rPr>
        <w:t>l’</w:t>
      </w:r>
      <w:r w:rsidRPr="00DE1329">
        <w:rPr>
          <w:rFonts w:cs="Arial"/>
          <w:lang w:val="fr-FR"/>
        </w:rPr>
        <w:t xml:space="preserve">ISO 13849-1 et de </w:t>
      </w:r>
      <w:smartTag w:uri="urn:schemas-microsoft-com:office:smarttags" w:element="PersonName">
        <w:smartTagPr>
          <w:attr w:name="ProductID" w:val="la CEI"/>
        </w:smartTagPr>
        <w:r w:rsidRPr="00DE1329">
          <w:rPr>
            <w:rFonts w:cs="Arial"/>
            <w:lang w:val="fr-FR"/>
          </w:rPr>
          <w:t>la CEI</w:t>
        </w:r>
      </w:smartTag>
      <w:r w:rsidRPr="00DE1329">
        <w:rPr>
          <w:rFonts w:cs="Arial"/>
          <w:lang w:val="fr-FR"/>
        </w:rPr>
        <w:t> 62061 dans la conception des systèmes de commande</w:t>
      </w:r>
      <w:r w:rsidRPr="00DE1329">
        <w:rPr>
          <w:rFonts w:cs="Arial"/>
          <w:lang w:val="fr-FR"/>
        </w:rPr>
        <w:br/>
        <w:t>des machines relatifs à la sécurité</w:t>
      </w:r>
    </w:p>
    <w:p w14:paraId="6DA6F1F1" w14:textId="77777777" w:rsidR="00776873" w:rsidRPr="00E14CEF" w:rsidRDefault="00776873" w:rsidP="00776873">
      <w:pPr>
        <w:pStyle w:val="Cizojazynnzev"/>
        <w:spacing w:after="840"/>
        <w:rPr>
          <w:lang w:val="de-DE"/>
        </w:rPr>
      </w:pPr>
      <w:r w:rsidRPr="00163034">
        <w:rPr>
          <w:lang w:val="de-DE"/>
        </w:rPr>
        <w:t>Anleitung zur Anwendung von ISO 13849-1 und IEC 62061 bei der Gestaltung von s</w:t>
      </w:r>
      <w:r>
        <w:rPr>
          <w:lang w:val="de-DE"/>
        </w:rPr>
        <w:t>icherheitsbezogenen Steuerungen</w:t>
      </w:r>
      <w:r>
        <w:rPr>
          <w:lang w:val="de-DE"/>
        </w:rPr>
        <w:br/>
      </w:r>
      <w:r w:rsidRPr="00163034">
        <w:rPr>
          <w:lang w:val="de-DE"/>
        </w:rPr>
        <w:t>von Maschinen</w:t>
      </w:r>
    </w:p>
    <w:p w14:paraId="389C9E04" w14:textId="77777777" w:rsidR="005E5D70" w:rsidRPr="008A40DE" w:rsidRDefault="00776873" w:rsidP="00776873">
      <w:pPr>
        <w:pStyle w:val="Textnormy"/>
      </w:pPr>
      <w:r>
        <w:t xml:space="preserve">Tato technická normalizační informace přejímá dokument informativního charakteru, technickou zprávu </w:t>
      </w:r>
      <w:r>
        <w:br/>
        <w:t>CLC IEC/TR 62061-1</w:t>
      </w:r>
      <w:r w:rsidRPr="00846188">
        <w:t>:201</w:t>
      </w:r>
      <w:r>
        <w:t xml:space="preserve">0, vypracovaný v souladu s vnitřními předpisy CEN/CENELEC, část 2. Překlad byl </w:t>
      </w:r>
      <w:r>
        <w:br/>
        <w:t xml:space="preserve">zajištěn </w:t>
      </w:r>
      <w:r w:rsidRPr="00F26445">
        <w:rPr>
          <w:rFonts w:cs="Arial"/>
        </w:rPr>
        <w:t>Českou agenturou pro standardizaci</w:t>
      </w:r>
      <w:r>
        <w:t>.</w:t>
      </w:r>
    </w:p>
    <w:p w14:paraId="6B66D5D8" w14:textId="77777777" w:rsidR="005E5D70" w:rsidRPr="00244A62" w:rsidRDefault="005E6642" w:rsidP="00776873">
      <w:pPr>
        <w:pStyle w:val="Textnormy"/>
      </w:pPr>
      <w:r w:rsidRPr="00244A62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1313919" wp14:editId="5D377E56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300000" cy="0"/>
                <wp:effectExtent l="0" t="0" r="0" b="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0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28394B" id="Line 7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</w:p>
    <w:p w14:paraId="6326A9DD" w14:textId="77777777" w:rsidR="005E5D70" w:rsidRPr="00244A62" w:rsidRDefault="005E5D70">
      <w:pPr>
        <w:pStyle w:val="Textnormy"/>
        <w:tabs>
          <w:tab w:val="right" w:pos="9923"/>
        </w:tabs>
        <w:sectPr w:rsidR="005E5D70" w:rsidRPr="00244A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D4F80CA" w14:textId="77777777" w:rsidR="00776873" w:rsidRPr="00D52545" w:rsidRDefault="00776873" w:rsidP="00776873">
      <w:pPr>
        <w:pStyle w:val="Nadpiskapitoly"/>
        <w:spacing w:before="0"/>
      </w:pPr>
      <w:r w:rsidRPr="00D52545">
        <w:lastRenderedPageBreak/>
        <w:t>Národní předmluva</w:t>
      </w:r>
    </w:p>
    <w:p w14:paraId="4E0CA8BD" w14:textId="77777777" w:rsidR="00776873" w:rsidRPr="00D52545" w:rsidRDefault="00776873" w:rsidP="004D48EC">
      <w:pPr>
        <w:pStyle w:val="Nadpislnku"/>
      </w:pPr>
      <w:r w:rsidRPr="00D52545">
        <w:t>Upozornění na používání této TNI</w:t>
      </w:r>
    </w:p>
    <w:p w14:paraId="56B22EF4" w14:textId="77777777" w:rsidR="00776873" w:rsidRPr="00D52545" w:rsidRDefault="00776873" w:rsidP="00776873">
      <w:pPr>
        <w:pStyle w:val="Textnormy"/>
      </w:pPr>
      <w:r w:rsidRPr="00D52545">
        <w:t>Technická zpráva (TR) je dokument informativního charakteru zpřístupněný CEN/CENELEC nejméně v jednom z oficiálních jazyků, vypracovaný technickými orgány a schválený prostou většinou hlasů národních členů CEN/CENELEC. Technická zpráva poskytuje informace o technickém obsahu normalizačních prací.</w:t>
      </w:r>
    </w:p>
    <w:p w14:paraId="0CC02DBF" w14:textId="77777777" w:rsidR="00776873" w:rsidRPr="00D52545" w:rsidRDefault="00776873" w:rsidP="00776873">
      <w:pPr>
        <w:pStyle w:val="Textnormy"/>
      </w:pPr>
      <w:r w:rsidRPr="00D52545">
        <w:t>Technická zpráva se vydává v případech, kdy se považuje za naléhavé nebo je vhodné poskytnout informace národním členům CEN/CENELEC, Evropské komisi, sekretariátu ESVO, evropským agenturám nebo externím orgánům na základě dat jiného druhu (získaných např. průzkumem) než ta, která se obvykle publikují jako EN.</w:t>
      </w:r>
    </w:p>
    <w:p w14:paraId="43A7A977" w14:textId="77777777" w:rsidR="00776873" w:rsidRPr="00D52545" w:rsidRDefault="00776873" w:rsidP="00776873">
      <w:pPr>
        <w:pStyle w:val="Textnormy"/>
      </w:pPr>
      <w:r w:rsidRPr="00D52545">
        <w:t>K technické zprávě se nevydávají změny, ale v případě nutnosti se nahrazuje novým vydáním. Možné jsou však opravy vydávané Řídicím centrem CEN-CENELEC.</w:t>
      </w:r>
    </w:p>
    <w:p w14:paraId="121D1319" w14:textId="77777777" w:rsidR="00776873" w:rsidRPr="00D52545" w:rsidRDefault="00776873" w:rsidP="00776873">
      <w:pPr>
        <w:pStyle w:val="Textnormy"/>
      </w:pPr>
      <w:r w:rsidRPr="00D52545">
        <w:t>Národní normalizační orgán nemá povinnost technickou zprávu oznamovat na národní úrovni.</w:t>
      </w:r>
    </w:p>
    <w:p w14:paraId="7631A2A7" w14:textId="77777777" w:rsidR="00776873" w:rsidRPr="00D52545" w:rsidRDefault="00776873" w:rsidP="00776873">
      <w:pPr>
        <w:pStyle w:val="Nadpislnku"/>
      </w:pPr>
      <w:r w:rsidRPr="00D52545">
        <w:t>Souvisící ČSN</w:t>
      </w:r>
    </w:p>
    <w:p w14:paraId="6939D854" w14:textId="77777777" w:rsidR="00776873" w:rsidRPr="00D52545" w:rsidRDefault="00776873" w:rsidP="00776873">
      <w:pPr>
        <w:pStyle w:val="Textnormy"/>
        <w:spacing w:after="100"/>
        <w:rPr>
          <w:rFonts w:cs="Arial"/>
        </w:rPr>
      </w:pPr>
      <w:r w:rsidRPr="00D52545">
        <w:rPr>
          <w:rFonts w:cs="Arial"/>
        </w:rPr>
        <w:t>ČSN EN 62061 (33 2208)</w:t>
      </w:r>
      <w:r w:rsidRPr="00D52545">
        <w:rPr>
          <w:rFonts w:cs="Arial"/>
        </w:rPr>
        <w:t> </w:t>
      </w:r>
      <w:r w:rsidRPr="00D52545">
        <w:rPr>
          <w:rFonts w:cs="Arial"/>
        </w:rPr>
        <w:t>Bezpečnost strojních zařízení – Funkční bezpečnost elektrických, elektronických a programovatelných elektronických řídicích systémů souvisejících s bezpečností</w:t>
      </w:r>
    </w:p>
    <w:p w14:paraId="6B2CEB80" w14:textId="77777777" w:rsidR="00776873" w:rsidRPr="00D52545" w:rsidRDefault="00D52545" w:rsidP="00776873">
      <w:pPr>
        <w:pStyle w:val="Textnormy"/>
        <w:spacing w:after="100"/>
        <w:rPr>
          <w:rFonts w:cs="Arial"/>
        </w:rPr>
      </w:pPr>
      <w:r w:rsidRPr="00D52545">
        <w:rPr>
          <w:rFonts w:cs="Arial"/>
        </w:rPr>
        <w:t>ČSN EN ISO 13849-1 (83 3205)</w:t>
      </w:r>
      <w:r w:rsidRPr="00D52545">
        <w:rPr>
          <w:rFonts w:cs="Arial"/>
        </w:rPr>
        <w:t> </w:t>
      </w:r>
      <w:r w:rsidR="00776873" w:rsidRPr="00D52545">
        <w:rPr>
          <w:rFonts w:cs="Arial"/>
        </w:rPr>
        <w:t xml:space="preserve">Bezpečnost strojních zařízení – Bezpečnostní části ovládacích systémů – </w:t>
      </w:r>
      <w:r>
        <w:rPr>
          <w:rFonts w:cs="Arial"/>
        </w:rPr>
        <w:br/>
      </w:r>
      <w:r w:rsidR="00776873" w:rsidRPr="00D52545">
        <w:rPr>
          <w:rFonts w:cs="Arial"/>
        </w:rPr>
        <w:t>Část 1: Všeobecné zásady pro konstrukci</w:t>
      </w:r>
    </w:p>
    <w:p w14:paraId="3553774D" w14:textId="77777777" w:rsidR="00776873" w:rsidRPr="00D52545" w:rsidRDefault="00776873" w:rsidP="00776873">
      <w:pPr>
        <w:pStyle w:val="Textnormy"/>
        <w:spacing w:after="100"/>
        <w:rPr>
          <w:rFonts w:cs="Arial"/>
        </w:rPr>
      </w:pPr>
      <w:r w:rsidRPr="00D52545">
        <w:rPr>
          <w:rFonts w:cs="Arial"/>
        </w:rPr>
        <w:t>ČSN EN ISO 13849-2 (83 3205)</w:t>
      </w:r>
      <w:r w:rsidRPr="00D52545">
        <w:rPr>
          <w:rFonts w:cs="Arial"/>
        </w:rPr>
        <w:t> </w:t>
      </w:r>
      <w:r w:rsidRPr="00D52545">
        <w:rPr>
          <w:rFonts w:cs="Arial"/>
        </w:rPr>
        <w:t xml:space="preserve">Bezpečnost strojních zařízení – Bezpečnostní části ovládacích systémů – </w:t>
      </w:r>
      <w:r w:rsidR="00D52545">
        <w:rPr>
          <w:rFonts w:cs="Arial"/>
        </w:rPr>
        <w:br/>
      </w:r>
      <w:r w:rsidRPr="00D52545">
        <w:rPr>
          <w:rFonts w:cs="Arial"/>
        </w:rPr>
        <w:t>Část 2: Ověřování</w:t>
      </w:r>
    </w:p>
    <w:p w14:paraId="5E148ABB" w14:textId="77777777" w:rsidR="00776873" w:rsidRPr="00D52545" w:rsidRDefault="00D52545" w:rsidP="00776873">
      <w:pPr>
        <w:pStyle w:val="Textnormy"/>
        <w:spacing w:after="100"/>
        <w:rPr>
          <w:rFonts w:cs="Arial"/>
        </w:rPr>
      </w:pPr>
      <w:r w:rsidRPr="00D52545">
        <w:rPr>
          <w:rFonts w:cs="Arial"/>
        </w:rPr>
        <w:t>ČSN EN 60947-5-1:2005 (35 4101)</w:t>
      </w:r>
      <w:r w:rsidRPr="00D52545">
        <w:rPr>
          <w:rFonts w:cs="Arial"/>
        </w:rPr>
        <w:t> </w:t>
      </w:r>
      <w:r w:rsidR="00776873" w:rsidRPr="00D52545">
        <w:rPr>
          <w:rFonts w:cs="Arial"/>
        </w:rPr>
        <w:t>Spínací a řídicí přístroje nízkého napětí – Část 5-1: Přístroje a spínací ústrojí řídicích obvodů – Elektromechanické přístroje řídicích obvodů</w:t>
      </w:r>
    </w:p>
    <w:p w14:paraId="551B05E5" w14:textId="77777777" w:rsidR="00776873" w:rsidRPr="00D52545" w:rsidRDefault="00D52545" w:rsidP="00776873">
      <w:pPr>
        <w:pStyle w:val="Textnormy"/>
        <w:spacing w:after="100"/>
        <w:rPr>
          <w:rFonts w:cs="Arial"/>
        </w:rPr>
      </w:pPr>
      <w:r w:rsidRPr="00D52545">
        <w:rPr>
          <w:rFonts w:cs="Arial"/>
        </w:rPr>
        <w:t>ČSN EN 61511-1 (18 0303)</w:t>
      </w:r>
      <w:r w:rsidRPr="00D52545">
        <w:rPr>
          <w:rFonts w:cs="Arial"/>
        </w:rPr>
        <w:t> </w:t>
      </w:r>
      <w:r w:rsidR="00776873" w:rsidRPr="00D52545">
        <w:rPr>
          <w:rFonts w:cs="Arial"/>
        </w:rPr>
        <w:t>Funkční bezpečnost – Bezpečnostní přístrojové systémy pro sektor průmyslových procesů – Část 1: Požadavky na systémy hardwaru a softwaru, struktura, definice</w:t>
      </w:r>
    </w:p>
    <w:p w14:paraId="08BDF37E" w14:textId="6AF44F7A" w:rsidR="00776873" w:rsidRPr="00D52545" w:rsidRDefault="00D52545" w:rsidP="00776873">
      <w:pPr>
        <w:pStyle w:val="Textnormy"/>
        <w:spacing w:after="100"/>
        <w:rPr>
          <w:rFonts w:cs="Arial"/>
        </w:rPr>
      </w:pPr>
      <w:r w:rsidRPr="00D52545">
        <w:rPr>
          <w:rFonts w:cs="Arial"/>
        </w:rPr>
        <w:t xml:space="preserve">ČSN EN 61508 </w:t>
      </w:r>
      <w:r w:rsidR="00FB0FEB">
        <w:rPr>
          <w:rFonts w:cs="Arial"/>
        </w:rPr>
        <w:t>(</w:t>
      </w:r>
      <w:r w:rsidRPr="00D52545">
        <w:rPr>
          <w:rFonts w:cs="Arial"/>
        </w:rPr>
        <w:t>soubor</w:t>
      </w:r>
      <w:r w:rsidR="00FB0FEB">
        <w:rPr>
          <w:rFonts w:cs="Arial"/>
        </w:rPr>
        <w:t>)</w:t>
      </w:r>
      <w:r w:rsidRPr="00D52545">
        <w:rPr>
          <w:rFonts w:cs="Arial"/>
        </w:rPr>
        <w:t xml:space="preserve"> (18 0301)</w:t>
      </w:r>
      <w:r w:rsidRPr="00D52545">
        <w:rPr>
          <w:rFonts w:cs="Arial"/>
        </w:rPr>
        <w:t> </w:t>
      </w:r>
      <w:r w:rsidR="00776873" w:rsidRPr="00D52545">
        <w:rPr>
          <w:rFonts w:cs="Arial"/>
        </w:rPr>
        <w:t>Funkční bezpečnost elektrických/elektronických/programovatelných elektronických systémů souvisejících s bezpečností</w:t>
      </w:r>
    </w:p>
    <w:p w14:paraId="7A32DF51" w14:textId="77777777" w:rsidR="00776873" w:rsidRDefault="00D52545" w:rsidP="00776873">
      <w:pPr>
        <w:pStyle w:val="Textnormy"/>
        <w:spacing w:after="100"/>
        <w:rPr>
          <w:rFonts w:cs="Arial"/>
        </w:rPr>
      </w:pPr>
      <w:r>
        <w:rPr>
          <w:rFonts w:cs="Arial"/>
        </w:rPr>
        <w:t>ČSN EN 61800-5-2 (35 1720)</w:t>
      </w:r>
      <w:r>
        <w:rPr>
          <w:rFonts w:cs="Arial"/>
        </w:rPr>
        <w:t> </w:t>
      </w:r>
      <w:r w:rsidR="00776873" w:rsidRPr="00D52545">
        <w:rPr>
          <w:rFonts w:cs="Arial"/>
        </w:rPr>
        <w:t>Systémy elektrických výkonových pohonů s nastavitelnou rychlostí – Část 5-2: Bezpečnostní požadavky – Funkční</w:t>
      </w:r>
    </w:p>
    <w:p w14:paraId="6DB29287" w14:textId="77777777" w:rsidR="00654B50" w:rsidRPr="00D52545" w:rsidRDefault="00654B50" w:rsidP="00654B50">
      <w:pPr>
        <w:pStyle w:val="Nadpislnku"/>
      </w:pPr>
      <w:r w:rsidRPr="00D52545">
        <w:t>Vysvětlivky k textu této TNI</w:t>
      </w:r>
    </w:p>
    <w:p w14:paraId="76AC2F5D" w14:textId="77777777" w:rsidR="00654B50" w:rsidRPr="00D52545" w:rsidRDefault="00654B50" w:rsidP="00654B50">
      <w:pPr>
        <w:pStyle w:val="Textnormy"/>
      </w:pPr>
      <w:r w:rsidRPr="00D52545">
        <w:rPr>
          <w:rFonts w:cs="Arial"/>
        </w:rPr>
        <w:t>V případě nedatovaných odkazů na evropské/mezinárodní normy jsou ČSN uvedené v článku „Souvisící ČSN“ nejnovějšími vydáními, platnými v době schválení této TNI. Při používání této TNI je třeba vždy použít taková vydání ČSN, která přejímají nejnovější vydání nedatovaných evropských/mezinárodních norem (včetně všech změn).</w:t>
      </w:r>
    </w:p>
    <w:p w14:paraId="15DC00D4" w14:textId="77777777" w:rsidR="00B83EC5" w:rsidRPr="00D52545" w:rsidRDefault="00B83EC5" w:rsidP="00B83EC5">
      <w:pPr>
        <w:pStyle w:val="Nadpislnku"/>
      </w:pPr>
      <w:r w:rsidRPr="00D52545">
        <w:t>Informativní údaje z IEC/TR 62061-1:2010</w:t>
      </w:r>
    </w:p>
    <w:p w14:paraId="2C966BA2" w14:textId="77777777" w:rsidR="00B83EC5" w:rsidRPr="00D52545" w:rsidRDefault="00B83EC5" w:rsidP="00B83EC5">
      <w:pPr>
        <w:pStyle w:val="Textnormy"/>
        <w:spacing w:after="100"/>
      </w:pPr>
      <w:r w:rsidRPr="00D52545">
        <w:t xml:space="preserve">Technickou zprávu IEC 62061-1, vypracovaly společně technická komise ISO/TC 199 </w:t>
      </w:r>
      <w:r w:rsidRPr="00D52545">
        <w:rPr>
          <w:i/>
        </w:rPr>
        <w:t>Bezpečnost strojních zařízení</w:t>
      </w:r>
      <w:r w:rsidRPr="00D52545">
        <w:t xml:space="preserve"> a technická komise IEC/TC 44 </w:t>
      </w:r>
      <w:r w:rsidRPr="00D52545">
        <w:rPr>
          <w:i/>
        </w:rPr>
        <w:t>Bezpečnost strojních zařízení – Elektrotechnické aspekty</w:t>
      </w:r>
      <w:r w:rsidRPr="00D52545">
        <w:t xml:space="preserve">. Návrh byl rozeslán k hlasování národním orgánům ISO i IEC. Tyto technické komise se dohodly, že vyjma případů vzájemné </w:t>
      </w:r>
      <w:r w:rsidRPr="00D52545">
        <w:br/>
        <w:t>dohody</w:t>
      </w:r>
      <w:r w:rsidRPr="00D52545">
        <w:rPr>
          <w:rStyle w:val="Znakapoznpodarou"/>
        </w:rPr>
        <w:footnoteReference w:id="1"/>
      </w:r>
      <w:r w:rsidRPr="00D52545">
        <w:rPr>
          <w:vertAlign w:val="superscript"/>
        </w:rPr>
        <w:t>)</w:t>
      </w:r>
      <w:r w:rsidRPr="004D48EC">
        <w:t xml:space="preserve"> </w:t>
      </w:r>
      <w:r w:rsidRPr="00D52545">
        <w:t>nebude k této technické zprávě vydána žádná modifikace.</w:t>
      </w:r>
    </w:p>
    <w:p w14:paraId="21ABEEE9" w14:textId="77777777" w:rsidR="00B83EC5" w:rsidRPr="00D52545" w:rsidRDefault="00B83EC5" w:rsidP="00B83EC5">
      <w:pPr>
        <w:pStyle w:val="Textnormy"/>
        <w:keepNext/>
        <w:spacing w:after="240"/>
      </w:pPr>
      <w:r w:rsidRPr="00D52545">
        <w:t xml:space="preserve">Text této technické zprávy se zakládá na těchto dokumentech: 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2268"/>
      </w:tblGrid>
      <w:tr w:rsidR="00B83EC5" w:rsidRPr="00D52545" w14:paraId="066854A4" w14:textId="77777777" w:rsidTr="00970392">
        <w:trPr>
          <w:jc w:val="center"/>
        </w:trPr>
        <w:tc>
          <w:tcPr>
            <w:tcW w:w="2268" w:type="dxa"/>
          </w:tcPr>
          <w:p w14:paraId="5BF917F1" w14:textId="77777777" w:rsidR="00B83EC5" w:rsidRPr="00D52545" w:rsidRDefault="00B83EC5" w:rsidP="00970392">
            <w:pPr>
              <w:pStyle w:val="Texttabulky"/>
              <w:jc w:val="center"/>
            </w:pPr>
            <w:r w:rsidRPr="00D52545">
              <w:t>Návrh k hlasování</w:t>
            </w:r>
          </w:p>
        </w:tc>
        <w:tc>
          <w:tcPr>
            <w:tcW w:w="2268" w:type="dxa"/>
          </w:tcPr>
          <w:p w14:paraId="7E185456" w14:textId="77777777" w:rsidR="00B83EC5" w:rsidRPr="00D52545" w:rsidRDefault="00B83EC5" w:rsidP="00970392">
            <w:pPr>
              <w:pStyle w:val="Texttabulky"/>
              <w:jc w:val="center"/>
            </w:pPr>
            <w:r w:rsidRPr="00D52545">
              <w:t>Zpráva o hlasování</w:t>
            </w:r>
          </w:p>
        </w:tc>
      </w:tr>
      <w:tr w:rsidR="00B83EC5" w:rsidRPr="00D52545" w14:paraId="662BAE15" w14:textId="77777777" w:rsidTr="00970392">
        <w:trPr>
          <w:jc w:val="center"/>
        </w:trPr>
        <w:tc>
          <w:tcPr>
            <w:tcW w:w="2268" w:type="dxa"/>
          </w:tcPr>
          <w:p w14:paraId="6B83D28B" w14:textId="77777777" w:rsidR="00B83EC5" w:rsidRPr="00D52545" w:rsidRDefault="00B83EC5" w:rsidP="00970392">
            <w:pPr>
              <w:pStyle w:val="Texttabulky"/>
              <w:jc w:val="center"/>
            </w:pPr>
            <w:r w:rsidRPr="00D52545">
              <w:t>44/598/DTR</w:t>
            </w:r>
          </w:p>
        </w:tc>
        <w:tc>
          <w:tcPr>
            <w:tcW w:w="2268" w:type="dxa"/>
          </w:tcPr>
          <w:p w14:paraId="3B311CD3" w14:textId="77777777" w:rsidR="00B83EC5" w:rsidRPr="00D52545" w:rsidRDefault="00B83EC5" w:rsidP="00970392">
            <w:pPr>
              <w:pStyle w:val="Texttabulky"/>
              <w:jc w:val="center"/>
            </w:pPr>
            <w:r w:rsidRPr="00D52545">
              <w:t>44/608/RVDTR</w:t>
            </w:r>
          </w:p>
        </w:tc>
      </w:tr>
    </w:tbl>
    <w:p w14:paraId="34C236E4" w14:textId="77777777" w:rsidR="00B83EC5" w:rsidRPr="00D52545" w:rsidRDefault="00B83EC5" w:rsidP="00B83EC5">
      <w:pPr>
        <w:pStyle w:val="Textnormy"/>
        <w:spacing w:before="240" w:after="100"/>
      </w:pPr>
      <w:r w:rsidRPr="00D52545">
        <w:t>Úplnou informaci o hlasování při schvalování této technické zprávy lze najít ve zprávě o hlasování ve výše uvedené tabulce.</w:t>
      </w:r>
    </w:p>
    <w:p w14:paraId="19C0ABD0" w14:textId="77777777" w:rsidR="00B83EC5" w:rsidRDefault="00B83EC5" w:rsidP="00B83EC5">
      <w:pPr>
        <w:pStyle w:val="Textnormy"/>
        <w:spacing w:after="100"/>
      </w:pPr>
      <w:r w:rsidRPr="00D52545">
        <w:t>Tento dokument byl vypracován v souladu se směrnicemi ISO/IEC, část 2.</w:t>
      </w:r>
    </w:p>
    <w:p w14:paraId="0425CA58" w14:textId="77777777" w:rsidR="00B83EC5" w:rsidRPr="00C02112" w:rsidRDefault="00B83EC5" w:rsidP="00B83EC5">
      <w:pPr>
        <w:pStyle w:val="Textnormy"/>
      </w:pPr>
      <w:r w:rsidRPr="00C02112">
        <w:t>Jazyk použitý při vypracování této mezinárodní normy je angličtina.</w:t>
      </w:r>
    </w:p>
    <w:p w14:paraId="38D0503C" w14:textId="77777777" w:rsidR="00B83EC5" w:rsidRPr="00C02112" w:rsidRDefault="00B83EC5" w:rsidP="00B83EC5">
      <w:pPr>
        <w:pStyle w:val="Textnormy"/>
      </w:pPr>
      <w:r w:rsidRPr="00C02112">
        <w:lastRenderedPageBreak/>
        <w:t xml:space="preserve">Tento dokument byl navržen v souladu se směrnicemi ISO/IEC, část 2, a byl vypracován v souladu se směrnicemi ISO/IEC, část 1, a se směrnicemi ISO/IEC, dodatkem IEC, dostupnými na </w:t>
      </w:r>
      <w:hyperlink r:id="rId13" w:history="1">
        <w:r w:rsidRPr="00C02112">
          <w:rPr>
            <w:u w:val="single"/>
          </w:rPr>
          <w:t>www.iec.ch/members_experts/refdocs</w:t>
        </w:r>
      </w:hyperlink>
      <w:r w:rsidRPr="00C02112">
        <w:t xml:space="preserve">. Hlavní typy dokumentů vypracované v IEC jsou podrobněji popsány na </w:t>
      </w:r>
      <w:hyperlink r:id="rId14" w:history="1">
        <w:r w:rsidRPr="00C02112">
          <w:rPr>
            <w:u w:val="single"/>
          </w:rPr>
          <w:t>www.iec.ch/standardsdev/publications</w:t>
        </w:r>
      </w:hyperlink>
      <w:r w:rsidRPr="00C02112">
        <w:t>.</w:t>
      </w:r>
    </w:p>
    <w:p w14:paraId="0F8BFC05" w14:textId="239B4CD2" w:rsidR="00B83EC5" w:rsidRPr="00D52545" w:rsidRDefault="00B83EC5" w:rsidP="00B83EC5">
      <w:pPr>
        <w:pStyle w:val="Textnormy"/>
      </w:pPr>
      <w:r w:rsidRPr="00D52545">
        <w:t>Komise rozhodla, že obsah tohoto dokumentu zůstane nezměněn až do data příští prověrky (stability date) uvedeného na webových stránkách IEC (</w:t>
      </w:r>
      <w:hyperlink r:id="rId15" w:history="1">
        <w:r w:rsidRPr="00D52545">
          <w:rPr>
            <w:u w:val="single"/>
          </w:rPr>
          <w:t>http://webstore.iec.ch</w:t>
        </w:r>
      </w:hyperlink>
      <w:r w:rsidRPr="00D52545">
        <w:t>) v údajích o tomto dokumentu. K tomuto datu bude dokument buď</w:t>
      </w:r>
      <w:r w:rsidR="00654B50">
        <w:t xml:space="preserve"> </w:t>
      </w:r>
      <w:r w:rsidR="00654B50">
        <w:rPr>
          <w:i/>
          <w:iCs/>
          <w:highlight w:val="yellow"/>
        </w:rPr>
        <w:t>(Výčet položek se uvede podle originálu.)</w:t>
      </w:r>
    </w:p>
    <w:p w14:paraId="084FFACD" w14:textId="63DC5F44" w:rsidR="00B83EC5" w:rsidRPr="00D52545" w:rsidRDefault="00B83EC5" w:rsidP="00B83EC5">
      <w:pPr>
        <w:pStyle w:val="Seznamvnorm"/>
        <w:ind w:left="284" w:hanging="284"/>
      </w:pPr>
      <w:r w:rsidRPr="00D52545">
        <w:t>znovu potvrzen</w:t>
      </w:r>
      <w:r w:rsidR="00B030EE">
        <w:t>,</w:t>
      </w:r>
    </w:p>
    <w:p w14:paraId="7F5539AD" w14:textId="183F8F0B" w:rsidR="00B83EC5" w:rsidRPr="00D52545" w:rsidRDefault="00B83EC5" w:rsidP="00B83EC5">
      <w:pPr>
        <w:pStyle w:val="Seznamvnorm"/>
        <w:ind w:left="284" w:hanging="284"/>
      </w:pPr>
      <w:r w:rsidRPr="00D52545">
        <w:t>zrušen</w:t>
      </w:r>
      <w:r w:rsidR="00501277">
        <w:t>, nebo</w:t>
      </w:r>
    </w:p>
    <w:p w14:paraId="281E03FA" w14:textId="3A6F93D3" w:rsidR="00B83EC5" w:rsidRPr="00D52545" w:rsidRDefault="00B83EC5" w:rsidP="00B83EC5">
      <w:pPr>
        <w:pStyle w:val="Seznamvnorm"/>
        <w:ind w:left="284" w:hanging="284"/>
      </w:pPr>
      <w:r w:rsidRPr="00D52545">
        <w:t>z</w:t>
      </w:r>
      <w:r w:rsidR="00501277">
        <w:t>revidová</w:t>
      </w:r>
      <w:r w:rsidRPr="00D52545">
        <w:t>n.</w:t>
      </w:r>
    </w:p>
    <w:p w14:paraId="6AA78131" w14:textId="77777777" w:rsidR="00B41533" w:rsidRPr="00AC0FA5" w:rsidRDefault="00B41533" w:rsidP="00B41533">
      <w:pPr>
        <w:pStyle w:val="Nadpislnku"/>
      </w:pPr>
      <w:r w:rsidRPr="00AC0FA5">
        <w:t xml:space="preserve">Vypracování </w:t>
      </w:r>
      <w:r>
        <w:t>TNI</w:t>
      </w:r>
    </w:p>
    <w:p w14:paraId="371421D3" w14:textId="3A03711E" w:rsidR="00B41533" w:rsidRPr="009A3632" w:rsidRDefault="00B41533" w:rsidP="00B41533">
      <w:pPr>
        <w:pStyle w:val="Textnormy"/>
      </w:pPr>
      <w:r w:rsidRPr="009A3632">
        <w:t>Zpracovatel odborného překladu</w:t>
      </w:r>
      <w:r w:rsidRPr="00A83CC9">
        <w:rPr>
          <w:bCs/>
        </w:rPr>
        <w:t>:</w:t>
      </w:r>
      <w:r w:rsidRPr="009A3632">
        <w:rPr>
          <w:bCs/>
          <w:i/>
          <w:iCs/>
        </w:rPr>
        <w:t xml:space="preserve"> </w:t>
      </w:r>
      <w:r w:rsidR="00495851" w:rsidRPr="00D52545">
        <w:t>Ing. František Valenta,</w:t>
      </w:r>
      <w:r w:rsidR="006E6925">
        <w:t xml:space="preserve"> Praha,</w:t>
      </w:r>
      <w:r w:rsidR="00495851" w:rsidRPr="00D52545">
        <w:t xml:space="preserve"> IČO 66051649</w:t>
      </w:r>
    </w:p>
    <w:p w14:paraId="2C2C3933" w14:textId="77777777" w:rsidR="00495851" w:rsidRPr="00D52545" w:rsidRDefault="00495851" w:rsidP="00495851">
      <w:pPr>
        <w:pStyle w:val="Textnormy"/>
      </w:pPr>
      <w:r w:rsidRPr="00D52545">
        <w:t>Technická normalizační komise: TNK 22 Elektrotechnické předpisy</w:t>
      </w:r>
    </w:p>
    <w:p w14:paraId="227DD8B7" w14:textId="5F873167" w:rsidR="00B41533" w:rsidRPr="000C223F" w:rsidRDefault="00B41533" w:rsidP="00B41533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16" w:history="1">
        <w:r w:rsidR="0075441A">
          <w:rPr>
            <w:rStyle w:val="Hypertextovodkaz"/>
          </w:rPr>
          <w:t>Česká agentura pro standardizaci, státní příspěvková organizace</w:t>
        </w:r>
      </w:hyperlink>
    </w:p>
    <w:p w14:paraId="50EF9D0D" w14:textId="3CE02020" w:rsidR="00B41533" w:rsidRPr="009A3632" w:rsidRDefault="00B41533" w:rsidP="00B41533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75441A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17" w:history="1">
        <w:r w:rsidRPr="009A363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p.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o.</w:t>
      </w:r>
    </w:p>
    <w:p w14:paraId="1368DAE2" w14:textId="77777777" w:rsidR="00B41533" w:rsidRDefault="00B41533" w:rsidP="00B41533">
      <w:pPr>
        <w:pStyle w:val="Textnormy"/>
        <w:rPr>
          <w:rFonts w:cs="Arial"/>
        </w:rPr>
      </w:pPr>
      <w:r w:rsidRPr="009A3632"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37E06E46" w14:textId="77777777" w:rsidR="00B41533" w:rsidRDefault="00B41533" w:rsidP="00776873">
      <w:pPr>
        <w:pStyle w:val="Textnormy"/>
      </w:pPr>
    </w:p>
    <w:p w14:paraId="7D6A6452" w14:textId="77777777" w:rsidR="001012EF" w:rsidRPr="00D52545" w:rsidRDefault="001012EF" w:rsidP="001012EF">
      <w:pPr>
        <w:pStyle w:val="Textnormy"/>
        <w:pageBreakBefore/>
      </w:pPr>
    </w:p>
    <w:p w14:paraId="63D2959C" w14:textId="77777777" w:rsidR="00776873" w:rsidRPr="00D52545" w:rsidRDefault="00776873" w:rsidP="004D48EC">
      <w:pPr>
        <w:pStyle w:val="EvropNorma"/>
        <w:tabs>
          <w:tab w:val="clear" w:pos="8505"/>
          <w:tab w:val="left" w:pos="7513"/>
        </w:tabs>
        <w:rPr>
          <w:b w:val="0"/>
          <w:kern w:val="0"/>
          <w:sz w:val="20"/>
        </w:rPr>
      </w:pPr>
      <w:r w:rsidRPr="00D52545">
        <w:rPr>
          <w:kern w:val="0"/>
        </w:rPr>
        <w:lastRenderedPageBreak/>
        <w:t>TECHNICKÁ ZPRÁVA</w:t>
      </w:r>
      <w:r w:rsidRPr="00D52545">
        <w:rPr>
          <w:kern w:val="0"/>
        </w:rPr>
        <w:tab/>
        <w:t>CLC IEC/TR 62061-1</w:t>
      </w:r>
      <w:r w:rsidRPr="00D52545">
        <w:rPr>
          <w:kern w:val="0"/>
        </w:rPr>
        <w:br/>
        <w:t>TECHNICAL REPORT</w:t>
      </w:r>
      <w:r w:rsidRPr="00D52545">
        <w:rPr>
          <w:kern w:val="0"/>
        </w:rPr>
        <w:br/>
        <w:t>RAPPORT TECHNIQUE</w:t>
      </w:r>
      <w:r w:rsidRPr="00D52545">
        <w:rPr>
          <w:kern w:val="0"/>
        </w:rPr>
        <w:br/>
        <w:t>TECHNISCHER BERICHT</w:t>
      </w:r>
      <w:r w:rsidRPr="00D52545">
        <w:rPr>
          <w:kern w:val="0"/>
        </w:rPr>
        <w:tab/>
      </w:r>
      <w:r w:rsidRPr="00D52545">
        <w:rPr>
          <w:b w:val="0"/>
          <w:kern w:val="0"/>
          <w:sz w:val="20"/>
        </w:rPr>
        <w:t>Srpen 2010</w:t>
      </w:r>
    </w:p>
    <w:p w14:paraId="20C27729" w14:textId="77777777" w:rsidR="00776873" w:rsidRPr="00D52545" w:rsidRDefault="00776873" w:rsidP="00776873">
      <w:pPr>
        <w:pStyle w:val="ICS"/>
        <w:rPr>
          <w:kern w:val="0"/>
        </w:rPr>
      </w:pPr>
      <w:r w:rsidRPr="00D52545">
        <w:rPr>
          <w:kern w:val="0"/>
        </w:rPr>
        <w:t>ICS 13.110; 25.040.99; 29.020</w:t>
      </w:r>
      <w:r w:rsidR="004D48EC">
        <w:rPr>
          <w:kern w:val="0"/>
        </w:rPr>
        <w:tab/>
      </w:r>
    </w:p>
    <w:p w14:paraId="5F62328A" w14:textId="77777777" w:rsidR="00776873" w:rsidRPr="00D52545" w:rsidRDefault="00776873" w:rsidP="00776873">
      <w:pPr>
        <w:pStyle w:val="NzNorCZ"/>
      </w:pPr>
      <w:r w:rsidRPr="00D52545">
        <w:t>Návod na použití ISO 13849-1 a IEC 62061 při návrhu řídicích systémů souvisejících s bezpečností pro strojní zařízení</w:t>
      </w:r>
      <w:r w:rsidRPr="00D52545">
        <w:br/>
        <w:t>(IEC/TR 62061-1:2010)</w:t>
      </w:r>
    </w:p>
    <w:p w14:paraId="5539BF62" w14:textId="77777777" w:rsidR="00776873" w:rsidRPr="00D52545" w:rsidRDefault="00776873" w:rsidP="00776873">
      <w:pPr>
        <w:pStyle w:val="NzNorUS"/>
      </w:pPr>
      <w:r w:rsidRPr="00D52545">
        <w:t>Guidance on the application of ISO 13849-1 and IEC 62061 in the design</w:t>
      </w:r>
      <w:r w:rsidRPr="00D52545">
        <w:br/>
        <w:t>of safety-related control systems for machinery</w:t>
      </w:r>
      <w:r w:rsidRPr="00D52545">
        <w:br/>
        <w:t>(IEC/TR 62061-1:2010)</w:t>
      </w:r>
    </w:p>
    <w:tbl>
      <w:tblPr>
        <w:tblW w:w="99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1"/>
      </w:tblGrid>
      <w:tr w:rsidR="00776873" w:rsidRPr="00D52545" w14:paraId="3DEF51C2" w14:textId="77777777" w:rsidTr="00B86CC2">
        <w:trPr>
          <w:jc w:val="center"/>
        </w:trPr>
        <w:tc>
          <w:tcPr>
            <w:tcW w:w="4961" w:type="dxa"/>
          </w:tcPr>
          <w:p w14:paraId="236FF7FB" w14:textId="77777777" w:rsidR="00776873" w:rsidRPr="00D52545" w:rsidRDefault="00776873" w:rsidP="00B86CC2">
            <w:pPr>
              <w:pStyle w:val="NzNorFraGer"/>
              <w:ind w:right="141"/>
            </w:pPr>
            <w:r w:rsidRPr="00D52545">
              <w:rPr>
                <w:lang w:val="fr-FR"/>
              </w:rPr>
              <w:t xml:space="preserve">Directives relatives </w:t>
            </w:r>
            <w:r w:rsidRPr="00D52545">
              <w:rPr>
                <w:rFonts w:cs="Arial"/>
                <w:lang w:val="fr-FR"/>
              </w:rPr>
              <w:t>à </w:t>
            </w:r>
            <w:r w:rsidRPr="00D52545">
              <w:rPr>
                <w:lang w:val="fr-FR"/>
              </w:rPr>
              <w:t>l</w:t>
            </w:r>
            <w:r w:rsidRPr="00D52545">
              <w:rPr>
                <w:rFonts w:cs="Arial"/>
                <w:lang w:val="fr-FR"/>
              </w:rPr>
              <w:t xml:space="preserve">’application de </w:t>
            </w:r>
            <w:r w:rsidRPr="00D52545">
              <w:rPr>
                <w:lang w:val="fr-FR"/>
              </w:rPr>
              <w:t>l</w:t>
            </w:r>
            <w:r w:rsidRPr="00D52545">
              <w:rPr>
                <w:rFonts w:cs="Arial"/>
                <w:lang w:val="fr-FR"/>
              </w:rPr>
              <w:t>’ISO 13849-1</w:t>
            </w:r>
            <w:r w:rsidRPr="00D52545">
              <w:rPr>
                <w:rFonts w:cs="Arial"/>
                <w:lang w:val="fr-FR"/>
              </w:rPr>
              <w:br/>
              <w:t xml:space="preserve">et de </w:t>
            </w:r>
            <w:smartTag w:uri="urn:schemas-microsoft-com:office:smarttags" w:element="PersonName">
              <w:smartTagPr>
                <w:attr w:name="ProductID" w:val="la CEI"/>
              </w:smartTagPr>
              <w:r w:rsidRPr="00D52545">
                <w:rPr>
                  <w:rFonts w:cs="Arial"/>
                  <w:lang w:val="fr-FR"/>
                </w:rPr>
                <w:t>la CEI</w:t>
              </w:r>
            </w:smartTag>
            <w:r w:rsidRPr="00D52545">
              <w:rPr>
                <w:rFonts w:cs="Arial"/>
                <w:lang w:val="fr-FR"/>
              </w:rPr>
              <w:t> 62061 dans la conception des systèmes de commande des machines relatifs à la sécurité</w:t>
            </w:r>
            <w:r w:rsidRPr="00D52545">
              <w:br/>
              <w:t>(IEC/TR 62061-1:2010)</w:t>
            </w:r>
          </w:p>
        </w:tc>
        <w:tc>
          <w:tcPr>
            <w:tcW w:w="4961" w:type="dxa"/>
          </w:tcPr>
          <w:p w14:paraId="198928CF" w14:textId="77777777" w:rsidR="00776873" w:rsidRPr="00D52545" w:rsidRDefault="00776873" w:rsidP="00B86CC2">
            <w:pPr>
              <w:pStyle w:val="NzNorFraGer"/>
            </w:pPr>
            <w:r w:rsidRPr="00D52545">
              <w:rPr>
                <w:lang w:val="de-DE"/>
              </w:rPr>
              <w:t>Anleitung zur Anwendung von ISO 13849-1</w:t>
            </w:r>
            <w:r w:rsidRPr="00D52545">
              <w:rPr>
                <w:lang w:val="de-DE"/>
              </w:rPr>
              <w:br/>
              <w:t>und IEC 62061 bei der Gestaltung von sicherheitsbezogenen Steuerungen von Maschinen</w:t>
            </w:r>
            <w:r w:rsidRPr="00D52545">
              <w:br/>
              <w:t>(IEC/TR 62061-1:2010)</w:t>
            </w:r>
          </w:p>
        </w:tc>
      </w:tr>
    </w:tbl>
    <w:p w14:paraId="21206109" w14:textId="77777777" w:rsidR="00776873" w:rsidRPr="00D52545" w:rsidRDefault="00776873" w:rsidP="00776873">
      <w:pPr>
        <w:pStyle w:val="Textnormy"/>
      </w:pPr>
      <w:r w:rsidRPr="00D52545">
        <w:t xml:space="preserve">Tato technická zpráva byla schválena CENELEC dne 2010-07-26. </w:t>
      </w:r>
    </w:p>
    <w:p w14:paraId="72375CC6" w14:textId="77777777" w:rsidR="00776873" w:rsidRPr="00D52545" w:rsidRDefault="00776873" w:rsidP="00776873">
      <w:pPr>
        <w:pStyle w:val="Textnormy"/>
      </w:pPr>
      <w:r w:rsidRPr="00D52545">
        <w:t>Členy CENELEC jsou národní normalizační orgány Belgie, Bulharska, České republiky, Dánska, Estonska,</w:t>
      </w:r>
      <w:r w:rsidR="004D48EC">
        <w:br/>
      </w:r>
      <w:r w:rsidRPr="00D52545">
        <w:t>Finska, Francie, Chorvatska, Irska, Islandu, Itálie, Kypru, Litvy, Lotyšska, Lucemburska, Maďarska, Malty,</w:t>
      </w:r>
      <w:r w:rsidR="004D48EC">
        <w:br/>
      </w:r>
      <w:r w:rsidRPr="00D52545">
        <w:t>Německa, Nizozemska, Norska, Polska, Portugalska, Rakouska, Republiky Severní Makedonie, Rumunska, Řecka, Slovenska, Slovinska, Spojeného království, Srbska, Španělska, Švédska, Švýcarska a Turecka.</w:t>
      </w:r>
    </w:p>
    <w:p w14:paraId="50EF1536" w14:textId="77777777" w:rsidR="00776873" w:rsidRPr="00D52545" w:rsidRDefault="004D48EC" w:rsidP="00776873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>
        <w:rPr>
          <w:sz w:val="24"/>
        </w:rPr>
        <w:t xml:space="preserve"> </w:t>
      </w:r>
      <w:r w:rsidR="00776873" w:rsidRPr="00D52545">
        <w:rPr>
          <w:b/>
          <w:noProof/>
          <w:sz w:val="24"/>
        </w:rPr>
        <w:drawing>
          <wp:inline distT="0" distB="0" distL="0" distR="0" wp14:anchorId="07EEE0F7" wp14:editId="72391FD2">
            <wp:extent cx="1226820" cy="5867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6873" w:rsidRPr="00D52545">
        <w:rPr>
          <w:sz w:val="24"/>
        </w:rPr>
        <w:t xml:space="preserve"> </w:t>
      </w:r>
    </w:p>
    <w:p w14:paraId="7F0D8710" w14:textId="77777777" w:rsidR="00776873" w:rsidRPr="00D52545" w:rsidRDefault="00776873" w:rsidP="00776873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 w:rsidRPr="00D52545">
        <w:rPr>
          <w:b/>
        </w:rPr>
        <w:t>Evropský výbor pro normalizaci v elektrotechnice</w:t>
      </w:r>
    </w:p>
    <w:p w14:paraId="450377D5" w14:textId="77777777" w:rsidR="00776873" w:rsidRPr="00D52545" w:rsidRDefault="00776873" w:rsidP="00776873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D52545">
        <w:rPr>
          <w:b/>
          <w:noProof/>
        </w:rPr>
        <w:t>European Committee for Electrotechnical Standardization</w:t>
      </w:r>
    </w:p>
    <w:p w14:paraId="31190C82" w14:textId="77777777" w:rsidR="00776873" w:rsidRPr="00D52545" w:rsidRDefault="00776873" w:rsidP="00776873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D52545">
        <w:rPr>
          <w:b/>
          <w:noProof/>
        </w:rPr>
        <w:t>Comité Européen de Normalisation Electrotechnique</w:t>
      </w:r>
    </w:p>
    <w:p w14:paraId="2901A0CF" w14:textId="77777777" w:rsidR="00776873" w:rsidRPr="00D52545" w:rsidRDefault="00776873" w:rsidP="00776873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 w:rsidRPr="00D52545">
        <w:rPr>
          <w:b/>
          <w:noProof/>
        </w:rPr>
        <w:t>Europäisches Komitee für Elektrotechnische Normung</w:t>
      </w:r>
    </w:p>
    <w:p w14:paraId="3E82E6E9" w14:textId="77777777" w:rsidR="00776873" w:rsidRPr="00D52545" w:rsidRDefault="00776873" w:rsidP="00776873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 w:rsidRPr="00D52545">
        <w:rPr>
          <w:b/>
        </w:rPr>
        <w:t>Řídicí centrum CEN-CENELEC: Rue de la Science 23, B-1040 Brusel</w:t>
      </w:r>
    </w:p>
    <w:p w14:paraId="3EE15DF3" w14:textId="77777777" w:rsidR="00776873" w:rsidRPr="004D48EC" w:rsidRDefault="00776873" w:rsidP="004D48EC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left" w:pos="6946"/>
          <w:tab w:val="right" w:pos="9923"/>
        </w:tabs>
        <w:spacing w:before="0" w:after="0"/>
        <w:ind w:left="1843" w:hanging="1843"/>
        <w:jc w:val="left"/>
      </w:pPr>
      <w:r w:rsidRPr="00D52545">
        <w:sym w:font="Times New Roman" w:char="00A9"/>
      </w:r>
      <w:r w:rsidRPr="00D52545">
        <w:t xml:space="preserve"> 2010 CENELEC</w:t>
      </w:r>
      <w:r w:rsidRPr="00D52545">
        <w:tab/>
        <w:t xml:space="preserve">Veškerá práva pro využití v jakékoli formě a jakýmikoli prostředky </w:t>
      </w:r>
      <w:r w:rsidRPr="00D52545">
        <w:br/>
        <w:t>jsou celosvětově vyhrazena členů</w:t>
      </w:r>
      <w:r w:rsidR="00803D55">
        <w:t>m CENELEC.</w:t>
      </w:r>
      <w:r w:rsidR="00803D55">
        <w:br/>
      </w:r>
      <w:r w:rsidR="00803D55">
        <w:tab/>
      </w:r>
      <w:r w:rsidRPr="00D52545">
        <w:t>Ref. č. CLC IEC/TR 62061-1:2010 E</w:t>
      </w:r>
    </w:p>
    <w:p w14:paraId="66DDFCEE" w14:textId="77777777" w:rsidR="00776873" w:rsidRPr="00D52545" w:rsidRDefault="00776873" w:rsidP="00776873">
      <w:pPr>
        <w:pStyle w:val="Textnormy"/>
      </w:pPr>
    </w:p>
    <w:p w14:paraId="6D3D2581" w14:textId="77777777" w:rsidR="00776873" w:rsidRPr="00D52545" w:rsidRDefault="00776873" w:rsidP="00776873">
      <w:pPr>
        <w:pStyle w:val="Nadpiskapitoly"/>
        <w:pageBreakBefore/>
        <w:spacing w:before="0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r w:rsidRPr="00D52545">
        <w:lastRenderedPageBreak/>
        <w:t>Evropská předmluva</w:t>
      </w:r>
    </w:p>
    <w:p w14:paraId="5DD4A70B" w14:textId="77777777" w:rsidR="00776873" w:rsidRPr="00D52545" w:rsidRDefault="00776873" w:rsidP="00776873">
      <w:pPr>
        <w:pStyle w:val="Textnormy"/>
      </w:pPr>
      <w:r w:rsidRPr="00D52545">
        <w:t xml:space="preserve">Text dokumentu 44/598/DTR, budoucího prvního vydání IEC/TR 62061-1, který vypracovala technická komise IEC/TC 44 </w:t>
      </w:r>
      <w:r w:rsidRPr="00D52545">
        <w:rPr>
          <w:i/>
        </w:rPr>
        <w:t>Bezpečnost strojních zařízení – Elektrotechnické aspekty</w:t>
      </w:r>
      <w:r w:rsidRPr="00D52545">
        <w:t>, byl předložen k paralelnímu hlasování IEC-CENELEC a byl schválen CENELEC jako CLC IEC/TR 62061-1.</w:t>
      </w:r>
    </w:p>
    <w:p w14:paraId="42194177" w14:textId="77777777" w:rsidR="00776873" w:rsidRDefault="00776873" w:rsidP="00776873">
      <w:pPr>
        <w:pStyle w:val="Textnormy"/>
      </w:pPr>
      <w:r w:rsidRPr="00D52545">
        <w:t>Upozorňuje se na možnost, že některé prvky tohoto dokumentu mohou být předmětem patentových práv. CENELEC nelze činit odpovědným za identifikaci jakéhokoliv nebo všech patentových práv.</w:t>
      </w:r>
    </w:p>
    <w:p w14:paraId="64B2CE81" w14:textId="40AA5742" w:rsidR="001C2D66" w:rsidRPr="00D52545" w:rsidRDefault="001C2D66" w:rsidP="00776873">
      <w:pPr>
        <w:pStyle w:val="Textnormy"/>
      </w:pPr>
      <w:r>
        <w:t xml:space="preserve">Jakákoli zpětná vazba a otázky týkající se tohoto dokumentu mají být adresovány národnímu normalizačnímu </w:t>
      </w:r>
      <w:r>
        <w:rPr>
          <w:rFonts w:ascii="ArialMT" w:hAnsi="ArialMT" w:cs="ArialMT"/>
        </w:rPr>
        <w:t>orgánu uživatele. Úplný seznam těchto orgánů lze nalézt na webových stránkách CENELEC.</w:t>
      </w:r>
    </w:p>
    <w:p w14:paraId="5DF13E5B" w14:textId="77777777" w:rsidR="00776873" w:rsidRPr="00D52545" w:rsidRDefault="00776873" w:rsidP="00776873">
      <w:pPr>
        <w:pStyle w:val="Nadpislnku"/>
      </w:pPr>
      <w:r w:rsidRPr="00D52545">
        <w:t>Oznámení o schválení</w:t>
      </w:r>
    </w:p>
    <w:p w14:paraId="0AF217E2" w14:textId="6010EA14" w:rsidR="00776873" w:rsidRPr="00D52545" w:rsidRDefault="00776873" w:rsidP="00776873">
      <w:pPr>
        <w:pStyle w:val="Textnormy"/>
      </w:pPr>
      <w:r w:rsidRPr="00D52545">
        <w:t>Text</w:t>
      </w:r>
      <w:r w:rsidR="009760A5">
        <w:t xml:space="preserve"> </w:t>
      </w:r>
      <w:r w:rsidRPr="00D52545">
        <w:t>IEC/TR 62061-1:2010 byl schválen CENELEC jako</w:t>
      </w:r>
      <w:r w:rsidR="004E55A7">
        <w:t xml:space="preserve"> </w:t>
      </w:r>
      <w:r w:rsidR="004E55A7" w:rsidRPr="00D52545">
        <w:t>CLC IEC/TR 62061-1</w:t>
      </w:r>
      <w:r w:rsidR="004E55A7">
        <w:t xml:space="preserve">:2010 </w:t>
      </w:r>
      <w:r w:rsidRPr="00D52545">
        <w:t>bez jakýchkoliv modifikací.</w:t>
      </w:r>
    </w:p>
    <w:p w14:paraId="048ADF05" w14:textId="77777777" w:rsidR="00776873" w:rsidRPr="00D52545" w:rsidRDefault="00776873" w:rsidP="00776873">
      <w:pPr>
        <w:pStyle w:val="Nadpiskapitoly"/>
        <w:pageBreakBefore/>
        <w:spacing w:before="0"/>
      </w:pPr>
      <w:r w:rsidRPr="00D52545">
        <w:lastRenderedPageBreak/>
        <w:t>Obsah</w:t>
      </w:r>
    </w:p>
    <w:p w14:paraId="5E9A72D8" w14:textId="77777777" w:rsidR="00776873" w:rsidRPr="00D52545" w:rsidRDefault="00776873" w:rsidP="00776873">
      <w:pPr>
        <w:pStyle w:val="Textnormy"/>
        <w:ind w:right="-1"/>
        <w:jc w:val="right"/>
        <w:rPr>
          <w:sz w:val="18"/>
        </w:rPr>
      </w:pPr>
      <w:r w:rsidRPr="00D52545">
        <w:rPr>
          <w:sz w:val="18"/>
        </w:rPr>
        <w:t>Strana</w:t>
      </w:r>
    </w:p>
    <w:bookmarkStart w:id="18" w:name="_Toc380735103"/>
    <w:bookmarkStart w:id="19" w:name="_Toc380735203"/>
    <w:bookmarkStart w:id="20" w:name="_Toc380825387"/>
    <w:bookmarkStart w:id="21" w:name="_Toc380827276"/>
    <w:bookmarkStart w:id="22" w:name="_Toc380886222"/>
    <w:bookmarkStart w:id="23" w:name="_Toc380886260"/>
    <w:bookmarkStart w:id="24" w:name="_Toc380886467"/>
    <w:p w14:paraId="6634B2DD" w14:textId="77777777" w:rsidR="00803D55" w:rsidRPr="00837869" w:rsidRDefault="00776873">
      <w:pPr>
        <w:pStyle w:val="Obsah1"/>
        <w:rPr>
          <w:rFonts w:eastAsiaTheme="minorEastAsia" w:cs="Arial"/>
          <w:szCs w:val="18"/>
        </w:rPr>
      </w:pPr>
      <w:r w:rsidRPr="00837869">
        <w:rPr>
          <w:rFonts w:cs="Arial"/>
          <w:szCs w:val="18"/>
        </w:rPr>
        <w:fldChar w:fldCharType="begin"/>
      </w:r>
      <w:r w:rsidRPr="00837869">
        <w:rPr>
          <w:rFonts w:cs="Arial"/>
          <w:szCs w:val="18"/>
        </w:rPr>
        <w:instrText xml:space="preserve"> TOC \o "1-3" </w:instrText>
      </w:r>
      <w:r w:rsidRPr="00837869">
        <w:rPr>
          <w:rFonts w:cs="Arial"/>
          <w:szCs w:val="18"/>
        </w:rPr>
        <w:fldChar w:fldCharType="separate"/>
      </w:r>
      <w:r w:rsidR="00803D55" w:rsidRPr="00837869">
        <w:rPr>
          <w:rFonts w:cs="Arial"/>
          <w:szCs w:val="18"/>
        </w:rPr>
        <w:t>Úvod</w:t>
      </w:r>
      <w:r w:rsidR="00803D55" w:rsidRPr="00837869">
        <w:rPr>
          <w:rFonts w:cs="Arial"/>
          <w:szCs w:val="18"/>
        </w:rPr>
        <w:tab/>
      </w:r>
      <w:r w:rsidR="00803D55" w:rsidRPr="00837869">
        <w:rPr>
          <w:rFonts w:cs="Arial"/>
          <w:szCs w:val="18"/>
        </w:rPr>
        <w:tab/>
      </w:r>
      <w:r w:rsidR="00803D55" w:rsidRPr="00837869">
        <w:rPr>
          <w:rFonts w:cs="Arial"/>
          <w:szCs w:val="18"/>
        </w:rPr>
        <w:fldChar w:fldCharType="begin"/>
      </w:r>
      <w:r w:rsidR="00803D55" w:rsidRPr="00837869">
        <w:rPr>
          <w:rFonts w:cs="Arial"/>
          <w:szCs w:val="18"/>
        </w:rPr>
        <w:instrText xml:space="preserve"> PAGEREF _Toc25753657 \h </w:instrText>
      </w:r>
      <w:r w:rsidR="00803D55" w:rsidRPr="00837869">
        <w:rPr>
          <w:rFonts w:cs="Arial"/>
          <w:szCs w:val="18"/>
        </w:rPr>
      </w:r>
      <w:r w:rsidR="00803D55" w:rsidRPr="00837869">
        <w:rPr>
          <w:rFonts w:cs="Arial"/>
          <w:szCs w:val="18"/>
        </w:rPr>
        <w:fldChar w:fldCharType="separate"/>
      </w:r>
      <w:r w:rsidR="00803D55" w:rsidRPr="00837869">
        <w:rPr>
          <w:rFonts w:cs="Arial"/>
          <w:szCs w:val="18"/>
        </w:rPr>
        <w:t>7</w:t>
      </w:r>
      <w:r w:rsidR="00803D55" w:rsidRPr="00837869">
        <w:rPr>
          <w:rFonts w:cs="Arial"/>
          <w:szCs w:val="18"/>
        </w:rPr>
        <w:fldChar w:fldCharType="end"/>
      </w:r>
    </w:p>
    <w:p w14:paraId="0EBEC5CB" w14:textId="77777777" w:rsidR="00803D55" w:rsidRPr="00837869" w:rsidRDefault="00803D55">
      <w:pPr>
        <w:pStyle w:val="Obsah1"/>
        <w:rPr>
          <w:rFonts w:eastAsiaTheme="minorEastAsia" w:cs="Arial"/>
          <w:szCs w:val="18"/>
        </w:rPr>
      </w:pPr>
      <w:r w:rsidRPr="00837869">
        <w:rPr>
          <w:rFonts w:cs="Arial"/>
          <w:b/>
          <w:szCs w:val="18"/>
        </w:rPr>
        <w:t>1</w:t>
      </w:r>
      <w:r w:rsidRPr="00837869">
        <w:rPr>
          <w:rFonts w:cs="Arial"/>
          <w:szCs w:val="18"/>
        </w:rPr>
        <w:tab/>
        <w:t>Rozsah platnosti</w:t>
      </w:r>
      <w:r w:rsidRPr="00837869">
        <w:rPr>
          <w:rFonts w:cs="Arial"/>
          <w:szCs w:val="18"/>
        </w:rPr>
        <w:tab/>
      </w:r>
      <w:r w:rsidRPr="00837869">
        <w:rPr>
          <w:rFonts w:cs="Arial"/>
          <w:szCs w:val="18"/>
        </w:rPr>
        <w:fldChar w:fldCharType="begin"/>
      </w:r>
      <w:r w:rsidRPr="00837869">
        <w:rPr>
          <w:rFonts w:cs="Arial"/>
          <w:szCs w:val="18"/>
        </w:rPr>
        <w:instrText xml:space="preserve"> PAGEREF _Toc25753658 \h </w:instrText>
      </w:r>
      <w:r w:rsidRPr="00837869">
        <w:rPr>
          <w:rFonts w:cs="Arial"/>
          <w:szCs w:val="18"/>
        </w:rPr>
      </w:r>
      <w:r w:rsidRPr="00837869">
        <w:rPr>
          <w:rFonts w:cs="Arial"/>
          <w:szCs w:val="18"/>
        </w:rPr>
        <w:fldChar w:fldCharType="separate"/>
      </w:r>
      <w:r w:rsidRPr="00837869">
        <w:rPr>
          <w:rFonts w:cs="Arial"/>
          <w:szCs w:val="18"/>
        </w:rPr>
        <w:t>8</w:t>
      </w:r>
      <w:r w:rsidRPr="00837869">
        <w:rPr>
          <w:rFonts w:cs="Arial"/>
          <w:szCs w:val="18"/>
        </w:rPr>
        <w:fldChar w:fldCharType="end"/>
      </w:r>
    </w:p>
    <w:p w14:paraId="47B6B9BD" w14:textId="77777777" w:rsidR="00803D55" w:rsidRPr="00837869" w:rsidRDefault="00803D55">
      <w:pPr>
        <w:pStyle w:val="Obsah1"/>
        <w:rPr>
          <w:rFonts w:eastAsiaTheme="minorEastAsia" w:cs="Arial"/>
          <w:szCs w:val="18"/>
        </w:rPr>
      </w:pPr>
      <w:r w:rsidRPr="00837869">
        <w:rPr>
          <w:rFonts w:cs="Arial"/>
          <w:b/>
          <w:szCs w:val="18"/>
        </w:rPr>
        <w:t>2</w:t>
      </w:r>
      <w:r w:rsidRPr="00837869">
        <w:rPr>
          <w:rFonts w:cs="Arial"/>
          <w:szCs w:val="18"/>
        </w:rPr>
        <w:tab/>
        <w:t>Obecně</w:t>
      </w:r>
      <w:r w:rsidRPr="00837869">
        <w:rPr>
          <w:rFonts w:cs="Arial"/>
          <w:szCs w:val="18"/>
        </w:rPr>
        <w:tab/>
      </w:r>
      <w:r w:rsidRPr="00837869">
        <w:rPr>
          <w:rFonts w:cs="Arial"/>
          <w:szCs w:val="18"/>
        </w:rPr>
        <w:fldChar w:fldCharType="begin"/>
      </w:r>
      <w:r w:rsidRPr="00837869">
        <w:rPr>
          <w:rFonts w:cs="Arial"/>
          <w:szCs w:val="18"/>
        </w:rPr>
        <w:instrText xml:space="preserve"> PAGEREF _Toc25753659 \h </w:instrText>
      </w:r>
      <w:r w:rsidRPr="00837869">
        <w:rPr>
          <w:rFonts w:cs="Arial"/>
          <w:szCs w:val="18"/>
        </w:rPr>
      </w:r>
      <w:r w:rsidRPr="00837869">
        <w:rPr>
          <w:rFonts w:cs="Arial"/>
          <w:szCs w:val="18"/>
        </w:rPr>
        <w:fldChar w:fldCharType="separate"/>
      </w:r>
      <w:r w:rsidRPr="00837869">
        <w:rPr>
          <w:rFonts w:cs="Arial"/>
          <w:szCs w:val="18"/>
        </w:rPr>
        <w:t>8</w:t>
      </w:r>
      <w:r w:rsidRPr="00837869">
        <w:rPr>
          <w:rFonts w:cs="Arial"/>
          <w:szCs w:val="18"/>
        </w:rPr>
        <w:fldChar w:fldCharType="end"/>
      </w:r>
    </w:p>
    <w:p w14:paraId="48005BF4" w14:textId="77777777" w:rsidR="00803D55" w:rsidRPr="00837869" w:rsidRDefault="00803D55">
      <w:pPr>
        <w:pStyle w:val="Obsah1"/>
        <w:rPr>
          <w:rFonts w:eastAsiaTheme="minorEastAsia" w:cs="Arial"/>
          <w:szCs w:val="18"/>
        </w:rPr>
      </w:pPr>
      <w:r w:rsidRPr="00837869">
        <w:rPr>
          <w:rFonts w:cs="Arial"/>
          <w:szCs w:val="18"/>
        </w:rPr>
        <w:t>Bibliografie</w:t>
      </w:r>
      <w:r w:rsidRPr="00837869">
        <w:rPr>
          <w:rFonts w:cs="Arial"/>
          <w:szCs w:val="18"/>
        </w:rPr>
        <w:tab/>
      </w:r>
      <w:r w:rsidRPr="00837869">
        <w:rPr>
          <w:rFonts w:cs="Arial"/>
          <w:szCs w:val="18"/>
        </w:rPr>
        <w:fldChar w:fldCharType="begin"/>
      </w:r>
      <w:r w:rsidRPr="00837869">
        <w:rPr>
          <w:rFonts w:cs="Arial"/>
          <w:szCs w:val="18"/>
        </w:rPr>
        <w:instrText xml:space="preserve"> PAGEREF _Toc25753660 \h </w:instrText>
      </w:r>
      <w:r w:rsidRPr="00837869">
        <w:rPr>
          <w:rFonts w:cs="Arial"/>
          <w:szCs w:val="18"/>
        </w:rPr>
      </w:r>
      <w:r w:rsidRPr="00837869">
        <w:rPr>
          <w:rFonts w:cs="Arial"/>
          <w:szCs w:val="18"/>
        </w:rPr>
        <w:fldChar w:fldCharType="separate"/>
      </w:r>
      <w:r w:rsidRPr="00837869">
        <w:rPr>
          <w:rFonts w:cs="Arial"/>
          <w:szCs w:val="18"/>
        </w:rPr>
        <w:t>9</w:t>
      </w:r>
      <w:r w:rsidRPr="00837869">
        <w:rPr>
          <w:rFonts w:cs="Arial"/>
          <w:szCs w:val="18"/>
        </w:rPr>
        <w:fldChar w:fldCharType="end"/>
      </w:r>
    </w:p>
    <w:p w14:paraId="50D486BE" w14:textId="77777777" w:rsidR="00776873" w:rsidRPr="00D52545" w:rsidRDefault="00776873" w:rsidP="00DA12A8">
      <w:pPr>
        <w:pStyle w:val="Textnormy"/>
      </w:pPr>
      <w:r w:rsidRPr="00837869">
        <w:fldChar w:fldCharType="end"/>
      </w:r>
      <w:bookmarkStart w:id="25" w:name="_Toc423086825"/>
      <w:bookmarkStart w:id="26" w:name="_Toc423088164"/>
      <w:bookmarkStart w:id="27" w:name="_Toc423088575"/>
      <w:bookmarkStart w:id="28" w:name="_Toc423089002"/>
      <w:bookmarkStart w:id="29" w:name="_Toc423089308"/>
      <w:bookmarkStart w:id="30" w:name="_Toc424009197"/>
      <w:bookmarkStart w:id="31" w:name="_Toc424009716"/>
      <w:bookmarkStart w:id="32" w:name="_Toc425135649"/>
      <w:bookmarkStart w:id="33" w:name="_Toc425402635"/>
      <w:bookmarkStart w:id="34" w:name="_Toc425404798"/>
      <w:bookmarkStart w:id="35" w:name="_Toc425561062"/>
      <w:bookmarkStart w:id="36" w:name="_Toc425561776"/>
      <w:bookmarkStart w:id="37" w:name="_Toc425579082"/>
      <w:bookmarkStart w:id="38" w:name="_Toc425579285"/>
      <w:bookmarkStart w:id="39" w:name="_Toc431022219"/>
      <w:bookmarkStart w:id="40" w:name="_Toc431785292"/>
      <w:bookmarkStart w:id="41" w:name="_Toc459535865"/>
    </w:p>
    <w:p w14:paraId="0441FE78" w14:textId="77777777" w:rsidR="00776873" w:rsidRPr="00D52545" w:rsidRDefault="00776873" w:rsidP="00776873">
      <w:pPr>
        <w:pStyle w:val="Nadpis1"/>
        <w:pageBreakBefore/>
        <w:spacing w:before="0"/>
      </w:pPr>
      <w:bookmarkStart w:id="42" w:name="_Toc4487158"/>
      <w:bookmarkStart w:id="43" w:name="_Toc300135206"/>
      <w:bookmarkStart w:id="44" w:name="_Toc25753657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r w:rsidRPr="00D52545">
        <w:lastRenderedPageBreak/>
        <w:t>Úvod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41"/>
      <w:bookmarkEnd w:id="42"/>
      <w:bookmarkEnd w:id="43"/>
      <w:bookmarkEnd w:id="44"/>
    </w:p>
    <w:p w14:paraId="72CBF418" w14:textId="77777777" w:rsidR="00776873" w:rsidRPr="00D52545" w:rsidRDefault="00776873" w:rsidP="00776873">
      <w:pPr>
        <w:pStyle w:val="Textnormy"/>
        <w:rPr>
          <w:snapToGrid w:val="0"/>
        </w:rPr>
      </w:pPr>
      <w:bookmarkStart w:id="45" w:name="_Toc369857620"/>
      <w:bookmarkStart w:id="46" w:name="_Toc378231895"/>
      <w:bookmarkStart w:id="47" w:name="_Toc359251364"/>
      <w:bookmarkStart w:id="48" w:name="_Toc359251522"/>
      <w:bookmarkStart w:id="49" w:name="_Toc359251682"/>
      <w:bookmarkStart w:id="50" w:name="_Toc359251939"/>
      <w:bookmarkStart w:id="51" w:name="_Toc359252128"/>
      <w:bookmarkStart w:id="52" w:name="_Toc359252243"/>
      <w:bookmarkStart w:id="53" w:name="_Toc359252486"/>
      <w:bookmarkStart w:id="54" w:name="_Toc359252726"/>
      <w:bookmarkStart w:id="55" w:name="_Toc359252847"/>
      <w:bookmarkStart w:id="56" w:name="_Toc359252921"/>
      <w:bookmarkStart w:id="57" w:name="_Toc359283647"/>
      <w:bookmarkStart w:id="58" w:name="_Toc365965547"/>
      <w:bookmarkStart w:id="59" w:name="_Toc365967314"/>
      <w:bookmarkStart w:id="60" w:name="_Toc365968761"/>
      <w:bookmarkStart w:id="61" w:name="_Toc367082926"/>
      <w:bookmarkStart w:id="62" w:name="_Toc372429541"/>
      <w:bookmarkStart w:id="63" w:name="_Toc375302775"/>
      <w:bookmarkStart w:id="64" w:name="_Toc379098932"/>
      <w:bookmarkStart w:id="65" w:name="_Toc380735105"/>
      <w:bookmarkStart w:id="66" w:name="_Toc380735205"/>
      <w:bookmarkStart w:id="67" w:name="_Toc380825389"/>
      <w:bookmarkStart w:id="68" w:name="_Toc380827278"/>
      <w:bookmarkStart w:id="69" w:name="_Toc380886224"/>
      <w:bookmarkStart w:id="70" w:name="_Toc380886262"/>
      <w:bookmarkStart w:id="71" w:name="_Toc380886372"/>
      <w:bookmarkStart w:id="72" w:name="_Toc380886469"/>
      <w:bookmarkStart w:id="73" w:name="_Toc4487160"/>
      <w:r w:rsidRPr="00D52545">
        <w:rPr>
          <w:snapToGrid w:val="0"/>
        </w:rPr>
        <w:t xml:space="preserve">Tuto technickou zprávu vypracovali odborníci z IEC/TC 44/WG 7 a ISO/TC 199/WG 8 v reakci na žádosti od </w:t>
      </w:r>
      <w:r w:rsidR="00803D55">
        <w:rPr>
          <w:snapToGrid w:val="0"/>
        </w:rPr>
        <w:br/>
      </w:r>
      <w:r w:rsidRPr="00D52545">
        <w:rPr>
          <w:snapToGrid w:val="0"/>
        </w:rPr>
        <w:t>jejich technických komisí o vysvětlení vztahu mezi IEC 62061 a ISO 13849-1. Zejména je záměrem pomoci uživatelům těchto mezinárodních norem z hlediska vzájemného působení, která může existovat mezi normami, aby bylo možno důvěřovat návrhu systémů souvisejících s bezpečností provedenému podle kterékoli z těchto norem.</w:t>
      </w:r>
    </w:p>
    <w:p w14:paraId="156026E5" w14:textId="5DCE714F" w:rsidR="00776873" w:rsidRPr="00D52545" w:rsidRDefault="00776873" w:rsidP="00776873">
      <w:pPr>
        <w:pStyle w:val="Textnormy"/>
      </w:pPr>
      <w:r w:rsidRPr="00D52545">
        <w:t>Je záměrem začlenit tuto technickou zprávu do IEC 62061 i ISO 13849-1 prostřednictvím oprav, které se budou odkazovat na vydanou verzi tohoto dokumentu. Tyto opravy rovněž vypustí informace udávané v</w:t>
      </w:r>
      <w:r w:rsidR="0086019A">
        <w:t> </w:t>
      </w:r>
      <w:r w:rsidRPr="00D52545">
        <w:t>tabulce</w:t>
      </w:r>
      <w:r w:rsidR="0086019A">
        <w:t> </w:t>
      </w:r>
      <w:r w:rsidRPr="00D52545">
        <w:t xml:space="preserve">1, </w:t>
      </w:r>
      <w:r w:rsidR="00803D55">
        <w:br/>
      </w:r>
      <w:r w:rsidRPr="00D52545">
        <w:rPr>
          <w:i/>
        </w:rPr>
        <w:t xml:space="preserve">Doporučené použití IEC 62061 a ISO 13849-1, </w:t>
      </w:r>
      <w:r w:rsidRPr="00D52545">
        <w:t>uvedené ve společném úvodu k oběma normám, která se nyní pokládá za překonanou. Následně je záměrem sloučit ISO 13849-1 a IEC 62061 prostřednictvím JWG ISO/TC 199 a IEC/TC 44.</w:t>
      </w:r>
    </w:p>
    <w:p w14:paraId="24C0E181" w14:textId="77777777" w:rsidR="00776873" w:rsidRPr="00D52545" w:rsidRDefault="00776873" w:rsidP="00776873">
      <w:pPr>
        <w:pStyle w:val="Nadpis1"/>
        <w:pageBreakBefore/>
        <w:spacing w:before="0"/>
      </w:pPr>
      <w:bookmarkStart w:id="74" w:name="_Toc25753658"/>
      <w:r w:rsidRPr="00D52545">
        <w:lastRenderedPageBreak/>
        <w:t>1</w:t>
      </w:r>
      <w:r w:rsidRPr="00D52545">
        <w:t> </w:t>
      </w:r>
      <w:r w:rsidRPr="00D52545">
        <w:t>Rozsah platnosti</w:t>
      </w:r>
      <w:bookmarkEnd w:id="45"/>
      <w:bookmarkEnd w:id="46"/>
      <w:bookmarkEnd w:id="74"/>
    </w:p>
    <w:p w14:paraId="1697E230" w14:textId="77777777" w:rsidR="00776873" w:rsidRPr="00D52545" w:rsidRDefault="00776873" w:rsidP="00776873">
      <w:pPr>
        <w:pStyle w:val="Textnormy"/>
      </w:pPr>
      <w:r w:rsidRPr="00D52545">
        <w:t>Záměrem této technické zprávy je vysvětlit použití IEC 62061 a ISO 13849-1 při návrhu řídicích systémů souvisejících s bezpečností pro strojní zařízení.</w:t>
      </w:r>
    </w:p>
    <w:p w14:paraId="5BCD1A7C" w14:textId="77777777" w:rsidR="00776873" w:rsidRPr="00D52545" w:rsidRDefault="00776873" w:rsidP="00776873">
      <w:pPr>
        <w:pStyle w:val="Nadpis1"/>
      </w:pPr>
      <w:bookmarkStart w:id="75" w:name="_Toc163979556"/>
      <w:bookmarkStart w:id="76" w:name="_Toc282707353"/>
      <w:bookmarkStart w:id="77" w:name="_Toc353737448"/>
      <w:bookmarkStart w:id="78" w:name="_Toc25753659"/>
      <w:bookmarkStart w:id="79" w:name="_Toc359251365"/>
      <w:bookmarkStart w:id="80" w:name="_Toc359251523"/>
      <w:bookmarkStart w:id="81" w:name="_Toc359251683"/>
      <w:bookmarkStart w:id="82" w:name="_Toc359251940"/>
      <w:bookmarkStart w:id="83" w:name="_Toc359252129"/>
      <w:bookmarkStart w:id="84" w:name="_Toc359252244"/>
      <w:bookmarkStart w:id="85" w:name="_Toc359252487"/>
      <w:bookmarkStart w:id="86" w:name="_Toc359252727"/>
      <w:bookmarkStart w:id="87" w:name="_Toc359252848"/>
      <w:bookmarkStart w:id="88" w:name="_Toc359252922"/>
      <w:bookmarkStart w:id="89" w:name="_Toc359283648"/>
      <w:bookmarkStart w:id="90" w:name="_Toc365965548"/>
      <w:bookmarkStart w:id="91" w:name="_Toc365967315"/>
      <w:bookmarkStart w:id="92" w:name="_Toc365968762"/>
      <w:bookmarkStart w:id="93" w:name="_Toc367082927"/>
      <w:bookmarkStart w:id="94" w:name="_Toc372429542"/>
      <w:bookmarkStart w:id="95" w:name="_Toc375302776"/>
      <w:bookmarkStart w:id="96" w:name="_Toc379098933"/>
      <w:bookmarkStart w:id="97" w:name="_Toc380735106"/>
      <w:bookmarkStart w:id="98" w:name="_Toc380735206"/>
      <w:bookmarkStart w:id="99" w:name="_Toc380825390"/>
      <w:bookmarkStart w:id="100" w:name="_Toc380827279"/>
      <w:bookmarkStart w:id="101" w:name="_Toc380886225"/>
      <w:bookmarkStart w:id="102" w:name="_Toc380886263"/>
      <w:bookmarkStart w:id="103" w:name="_Toc380886373"/>
      <w:bookmarkStart w:id="104" w:name="_Toc380886470"/>
      <w:bookmarkStart w:id="105" w:name="_Toc4487161"/>
      <w:bookmarkStart w:id="106" w:name="_Toc300135210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r w:rsidRPr="00D52545">
        <w:t>2</w:t>
      </w:r>
      <w:r w:rsidRPr="00D52545">
        <w:t> </w:t>
      </w:r>
      <w:bookmarkEnd w:id="75"/>
      <w:r w:rsidRPr="00D52545">
        <w:t>Obecně</w:t>
      </w:r>
      <w:bookmarkEnd w:id="76"/>
      <w:bookmarkEnd w:id="77"/>
      <w:bookmarkEnd w:id="78"/>
    </w:p>
    <w:p w14:paraId="667DF916" w14:textId="77777777" w:rsidR="00776873" w:rsidRPr="00D52545" w:rsidRDefault="00776873" w:rsidP="00DA12A8">
      <w:pPr>
        <w:pStyle w:val="Textnormy"/>
        <w:spacing w:before="240"/>
      </w:pPr>
      <w:r w:rsidRPr="00D52545">
        <w:rPr>
          <w:b/>
        </w:rPr>
        <w:t>2.1</w:t>
      </w:r>
      <w:r w:rsidRPr="00D52545">
        <w:rPr>
          <w:b/>
        </w:rPr>
        <w:t> </w:t>
      </w:r>
      <w:r w:rsidRPr="00D52545">
        <w:t>IEC 62061 i ISO 13849-1 předepisují požadavky na návrh a realizaci řídic</w:t>
      </w:r>
      <w:r w:rsidR="00962D78">
        <w:t>ích systémů souvisejících s bez</w:t>
      </w:r>
      <w:r w:rsidRPr="00D52545">
        <w:t>pečností pro strojní zařízení. Metody vypracované v obou těchto normách jsou odlišné, ale při správném použití mohou dosáhnout srovnatelné úrovně snížení rizika.</w:t>
      </w:r>
    </w:p>
    <w:p w14:paraId="09C9AC5E" w14:textId="77777777" w:rsidR="00776873" w:rsidRPr="00D52545" w:rsidRDefault="00776873" w:rsidP="00DA12A8">
      <w:pPr>
        <w:pStyle w:val="Textnormy"/>
        <w:spacing w:before="240"/>
      </w:pPr>
      <w:r w:rsidRPr="00D52545">
        <w:rPr>
          <w:b/>
        </w:rPr>
        <w:t>2.2</w:t>
      </w:r>
      <w:r w:rsidRPr="00D52545">
        <w:rPr>
          <w:b/>
        </w:rPr>
        <w:t> </w:t>
      </w:r>
      <w:r w:rsidRPr="00D52545">
        <w:t xml:space="preserve">Tyto normy klasifikují řídicí systémy související s bezpečností, které zavádějí bezpečnostní funkce na úrovních, které jsou definovány z hlediska jejich pravděpodobnosti nebezpečné poruchy za hodinu. ISO 13849-1 má pět úrovní vlastností (PL) a, b, c, d a e, zatímco IEC 62061 má tři úrovně integrity bezpečnosti (SIL) 1, </w:t>
      </w:r>
      <w:smartTag w:uri="urn:schemas-microsoft-com:office:smarttags" w:element="metricconverter">
        <w:smartTagPr>
          <w:attr w:name="ProductID" w:val="2ﾠa"/>
        </w:smartTagPr>
        <w:r w:rsidRPr="00D52545">
          <w:t>2 a</w:t>
        </w:r>
      </w:smartTag>
      <w:r w:rsidRPr="00D52545">
        <w:t xml:space="preserve"> 3.</w:t>
      </w:r>
    </w:p>
    <w:p w14:paraId="18E650CB" w14:textId="77777777" w:rsidR="00776873" w:rsidRPr="00D52545" w:rsidRDefault="00776873" w:rsidP="00DA12A8">
      <w:pPr>
        <w:pStyle w:val="Textnormy"/>
        <w:spacing w:before="240"/>
      </w:pPr>
      <w:r w:rsidRPr="00D52545">
        <w:rPr>
          <w:b/>
        </w:rPr>
        <w:t>2.3</w:t>
      </w:r>
      <w:r w:rsidRPr="00D52545">
        <w:rPr>
          <w:b/>
        </w:rPr>
        <w:t> </w:t>
      </w:r>
      <w:r w:rsidRPr="00D52545">
        <w:t>Komise pro normy výrobků (typu C) předepisují bezpečnostní požadavky pro řídicí systémy související s bezpečností a doporučuje se, aby tyto komise klasifikovaly úrovně bezpečností, které se pro ně vyžadují z hlediska PL a SIL.</w:t>
      </w:r>
    </w:p>
    <w:p w14:paraId="56B62987" w14:textId="77777777" w:rsidR="00776873" w:rsidRPr="00D52545" w:rsidRDefault="00776873" w:rsidP="00DA12A8">
      <w:pPr>
        <w:pStyle w:val="Textnormy"/>
        <w:spacing w:before="240"/>
      </w:pPr>
      <w:r w:rsidRPr="00D52545">
        <w:rPr>
          <w:b/>
        </w:rPr>
        <w:t>2.4</w:t>
      </w:r>
      <w:r w:rsidRPr="00D52545">
        <w:rPr>
          <w:b/>
        </w:rPr>
        <w:t> </w:t>
      </w:r>
      <w:r w:rsidRPr="00D52545">
        <w:t>Konstruktéři strojních zařízení si mohou vybrat použití buď IEC 62061, nebo ISO 13849-1, v závislosti na specifických vlastnostech použití.</w:t>
      </w:r>
    </w:p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p w14:paraId="2563F936" w14:textId="77777777" w:rsidR="00776873" w:rsidRPr="00D52545" w:rsidRDefault="00776873" w:rsidP="00776873">
      <w:pPr>
        <w:pStyle w:val="Textnormy"/>
      </w:pPr>
    </w:p>
    <w:p w14:paraId="075C45F1" w14:textId="77777777" w:rsidR="00776873" w:rsidRPr="00D52545" w:rsidRDefault="00776873" w:rsidP="00776873">
      <w:pPr>
        <w:pStyle w:val="Textnormy"/>
      </w:pPr>
      <w:r w:rsidRPr="00D52545">
        <w:t>atd.</w:t>
      </w:r>
    </w:p>
    <w:p w14:paraId="79F3E04D" w14:textId="77777777" w:rsidR="00776873" w:rsidRPr="00D52545" w:rsidRDefault="00776873" w:rsidP="00776873">
      <w:pPr>
        <w:pStyle w:val="Nadpis1"/>
        <w:pageBreakBefore/>
        <w:spacing w:before="0"/>
      </w:pPr>
      <w:bookmarkStart w:id="107" w:name="_Toc353737462"/>
      <w:bookmarkStart w:id="108" w:name="_Toc25753660"/>
      <w:r w:rsidRPr="00D52545">
        <w:lastRenderedPageBreak/>
        <w:t>Bibliografie</w:t>
      </w:r>
      <w:bookmarkEnd w:id="107"/>
      <w:bookmarkEnd w:id="108"/>
    </w:p>
    <w:p w14:paraId="1BF0DB31" w14:textId="77777777" w:rsidR="00776873" w:rsidRPr="00D52545" w:rsidRDefault="00F929A5" w:rsidP="00776873">
      <w:pPr>
        <w:pStyle w:val="bibliografie"/>
      </w:pPr>
      <w:r>
        <w:t>IEC 62061</w:t>
      </w:r>
      <w:r>
        <w:t> </w:t>
      </w:r>
      <w:r w:rsidR="00776873" w:rsidRPr="00D52545">
        <w:rPr>
          <w:i/>
        </w:rPr>
        <w:t>Safety of machinery – Functional safety of safety-related electrical, electronic and programmable electronic control systems</w:t>
      </w:r>
    </w:p>
    <w:p w14:paraId="0215ABF7" w14:textId="215FB4C4" w:rsidR="00776873" w:rsidRPr="00D52545" w:rsidRDefault="00F929A5" w:rsidP="00776873">
      <w:pPr>
        <w:pStyle w:val="Poznmka"/>
        <w:ind w:left="567"/>
      </w:pPr>
      <w:r>
        <w:t>POZNÁMKA</w:t>
      </w:r>
      <w:r>
        <w:t> </w:t>
      </w:r>
      <w:r w:rsidR="00206814">
        <w:t>Schválena jako</w:t>
      </w:r>
      <w:r w:rsidR="00776873" w:rsidRPr="00D52545">
        <w:t> EN 62061.</w:t>
      </w:r>
    </w:p>
    <w:p w14:paraId="1472C8F2" w14:textId="77777777" w:rsidR="00776873" w:rsidRPr="00D52545" w:rsidRDefault="00F929A5" w:rsidP="00776873">
      <w:pPr>
        <w:pStyle w:val="bibliografie"/>
      </w:pPr>
      <w:r>
        <w:t>ISO 13849-1</w:t>
      </w:r>
      <w:r>
        <w:t> </w:t>
      </w:r>
      <w:r w:rsidR="00776873" w:rsidRPr="00D52545">
        <w:rPr>
          <w:i/>
        </w:rPr>
        <w:t>Safety of machinery – Safety-related parts of control systems – Part 1: General principles for design</w:t>
      </w:r>
    </w:p>
    <w:p w14:paraId="1293B7D2" w14:textId="276BD225" w:rsidR="00776873" w:rsidRPr="00D52545" w:rsidRDefault="00F929A5" w:rsidP="00776873">
      <w:pPr>
        <w:pStyle w:val="Poznmka"/>
        <w:ind w:left="567"/>
      </w:pPr>
      <w:r>
        <w:t>POZNÁMKA</w:t>
      </w:r>
      <w:r>
        <w:t> </w:t>
      </w:r>
      <w:r w:rsidR="00206814" w:rsidRPr="00206814">
        <w:t xml:space="preserve"> </w:t>
      </w:r>
      <w:r w:rsidR="00206814">
        <w:t>Schválena jako</w:t>
      </w:r>
      <w:r w:rsidR="00206814" w:rsidRPr="00D52545">
        <w:t> </w:t>
      </w:r>
      <w:r w:rsidR="00206814" w:rsidRPr="00D52545" w:rsidDel="00206814">
        <w:t xml:space="preserve"> </w:t>
      </w:r>
      <w:r w:rsidR="00776873" w:rsidRPr="00D52545">
        <w:t>EN ISO 13849-1.</w:t>
      </w:r>
    </w:p>
    <w:p w14:paraId="47FFBDD8" w14:textId="77777777" w:rsidR="00776873" w:rsidRPr="00D52545" w:rsidRDefault="00F929A5" w:rsidP="00776873">
      <w:pPr>
        <w:pStyle w:val="bibliografie"/>
      </w:pPr>
      <w:r>
        <w:t>ISO 13849-2</w:t>
      </w:r>
      <w:r>
        <w:t> </w:t>
      </w:r>
      <w:r w:rsidR="00776873" w:rsidRPr="00D52545">
        <w:rPr>
          <w:i/>
        </w:rPr>
        <w:t>Safety of machinery – Safety-related parts of control systems – Part 2: Validation</w:t>
      </w:r>
    </w:p>
    <w:p w14:paraId="3922D70B" w14:textId="25061724" w:rsidR="00776873" w:rsidRPr="00D52545" w:rsidRDefault="00776873" w:rsidP="00776873">
      <w:pPr>
        <w:pStyle w:val="Poznmka"/>
        <w:ind w:left="567"/>
      </w:pPr>
      <w:r w:rsidRPr="00D52545">
        <w:t>POZNÁMK</w:t>
      </w:r>
      <w:r w:rsidR="00F929A5">
        <w:t>A</w:t>
      </w:r>
      <w:r w:rsidR="00F929A5">
        <w:t> </w:t>
      </w:r>
      <w:r w:rsidR="00206814" w:rsidRPr="00206814">
        <w:t xml:space="preserve"> </w:t>
      </w:r>
      <w:r w:rsidR="00206814">
        <w:t>Schválena jako</w:t>
      </w:r>
      <w:r w:rsidR="00206814" w:rsidRPr="00D52545">
        <w:t> </w:t>
      </w:r>
      <w:r w:rsidRPr="00D52545">
        <w:t>EN ISO 13849-2.</w:t>
      </w:r>
    </w:p>
    <w:p w14:paraId="08A09718" w14:textId="77777777" w:rsidR="00776873" w:rsidRPr="00D52545" w:rsidRDefault="00F929A5" w:rsidP="00776873">
      <w:pPr>
        <w:pStyle w:val="bibliografie"/>
      </w:pPr>
      <w:r>
        <w:t>ISO 14121-1</w:t>
      </w:r>
      <w:r>
        <w:t> </w:t>
      </w:r>
      <w:r w:rsidR="00776873" w:rsidRPr="00D52545">
        <w:rPr>
          <w:i/>
        </w:rPr>
        <w:t>Safety of machinery – Risk assessment – Part 1: Principles</w:t>
      </w:r>
    </w:p>
    <w:p w14:paraId="13D11BE2" w14:textId="177A168F" w:rsidR="00776873" w:rsidRPr="00D52545" w:rsidRDefault="00776873" w:rsidP="00776873">
      <w:pPr>
        <w:pStyle w:val="Poznmka"/>
        <w:ind w:left="567"/>
      </w:pPr>
      <w:r w:rsidRPr="00D52545">
        <w:t>POZNÁMK</w:t>
      </w:r>
      <w:r w:rsidR="00F929A5">
        <w:t>A</w:t>
      </w:r>
      <w:r w:rsidR="00F929A5">
        <w:t> </w:t>
      </w:r>
      <w:r w:rsidR="00206814" w:rsidRPr="00206814">
        <w:t xml:space="preserve"> </w:t>
      </w:r>
      <w:r w:rsidR="00206814">
        <w:t>Schválena jako</w:t>
      </w:r>
      <w:r w:rsidR="00206814" w:rsidRPr="00D52545">
        <w:t> </w:t>
      </w:r>
      <w:r w:rsidRPr="00D52545">
        <w:t>EN ISO 14121-1.</w:t>
      </w:r>
    </w:p>
    <w:p w14:paraId="58276E5D" w14:textId="77777777" w:rsidR="00776873" w:rsidRPr="00D52545" w:rsidRDefault="00F929A5" w:rsidP="00776873">
      <w:pPr>
        <w:pStyle w:val="bibliografie"/>
      </w:pPr>
      <w:r>
        <w:t>IEC 60947-5-1:2003</w:t>
      </w:r>
      <w:r>
        <w:t> </w:t>
      </w:r>
      <w:r w:rsidR="00776873" w:rsidRPr="00D52545">
        <w:rPr>
          <w:i/>
        </w:rPr>
        <w:t xml:space="preserve">Low-voltage switchgear and controlgear – Part 5-1: Control circuit devices and </w:t>
      </w:r>
      <w:r w:rsidR="00AA38C9">
        <w:rPr>
          <w:i/>
        </w:rPr>
        <w:br/>
      </w:r>
      <w:r w:rsidR="00776873" w:rsidRPr="00D52545">
        <w:rPr>
          <w:i/>
        </w:rPr>
        <w:t>switching elements – Electromechanical control circuit devices</w:t>
      </w:r>
    </w:p>
    <w:p w14:paraId="7BC1C7A3" w14:textId="416B3D28" w:rsidR="00776873" w:rsidRPr="00D52545" w:rsidRDefault="00776873" w:rsidP="00776873">
      <w:pPr>
        <w:pStyle w:val="Poznmka"/>
        <w:ind w:left="567"/>
      </w:pPr>
      <w:r w:rsidRPr="00D52545">
        <w:t>POZNÁMK</w:t>
      </w:r>
      <w:r w:rsidR="00F929A5">
        <w:t>A</w:t>
      </w:r>
      <w:r w:rsidR="00F929A5">
        <w:t> </w:t>
      </w:r>
      <w:r w:rsidR="00206814" w:rsidRPr="00206814">
        <w:t xml:space="preserve"> </w:t>
      </w:r>
      <w:r w:rsidR="00206814">
        <w:t>Schválena jako</w:t>
      </w:r>
      <w:r w:rsidR="00206814" w:rsidRPr="00D52545">
        <w:t> </w:t>
      </w:r>
      <w:r w:rsidRPr="00D52545">
        <w:t>EN 60947-5-1:2004 (bez modifikací).</w:t>
      </w:r>
    </w:p>
    <w:p w14:paraId="5414C0F5" w14:textId="77777777" w:rsidR="00776873" w:rsidRPr="00D52545" w:rsidRDefault="00F929A5" w:rsidP="00776873">
      <w:pPr>
        <w:pStyle w:val="bibliografie"/>
      </w:pPr>
      <w:r>
        <w:t>IEC 61511-1</w:t>
      </w:r>
      <w:r>
        <w:t> </w:t>
      </w:r>
      <w:r w:rsidR="00776873" w:rsidRPr="00D52545">
        <w:rPr>
          <w:i/>
        </w:rPr>
        <w:t>Functional safety – Safety instrumented systems for the process industry sector – Part 1: Framework, definitions, system, hardware and software requirements</w:t>
      </w:r>
    </w:p>
    <w:p w14:paraId="3B3B63E0" w14:textId="11029B9B" w:rsidR="00776873" w:rsidRPr="00D52545" w:rsidRDefault="00F929A5" w:rsidP="00776873">
      <w:pPr>
        <w:pStyle w:val="Poznmka"/>
        <w:ind w:left="567"/>
      </w:pPr>
      <w:r>
        <w:t>POZNÁMKA</w:t>
      </w:r>
      <w:r>
        <w:t> </w:t>
      </w:r>
      <w:r w:rsidR="00206814" w:rsidRPr="00206814">
        <w:t xml:space="preserve"> </w:t>
      </w:r>
      <w:r w:rsidR="00206814">
        <w:t>Schválena jako</w:t>
      </w:r>
      <w:r w:rsidR="00206814" w:rsidRPr="00D52545">
        <w:t> </w:t>
      </w:r>
      <w:r w:rsidR="00776873" w:rsidRPr="00D52545">
        <w:t>EN 61511-1.</w:t>
      </w:r>
    </w:p>
    <w:p w14:paraId="70735F4A" w14:textId="77777777" w:rsidR="00776873" w:rsidRPr="00D52545" w:rsidRDefault="00F929A5" w:rsidP="00776873">
      <w:pPr>
        <w:pStyle w:val="bibliografie"/>
      </w:pPr>
      <w:r>
        <w:t>IEC 61508 (all parts)</w:t>
      </w:r>
      <w:r>
        <w:t> </w:t>
      </w:r>
      <w:r w:rsidR="00776873" w:rsidRPr="00D52545">
        <w:rPr>
          <w:i/>
        </w:rPr>
        <w:t>Functional safety of electrical/electronic/programmable electronic safety-related systems</w:t>
      </w:r>
    </w:p>
    <w:p w14:paraId="5D3E2365" w14:textId="77777777" w:rsidR="00776873" w:rsidRPr="00D52545" w:rsidRDefault="00F929A5" w:rsidP="00776873">
      <w:pPr>
        <w:pStyle w:val="bibliografie"/>
      </w:pPr>
      <w:r>
        <w:t>IEC 61800-5-2</w:t>
      </w:r>
      <w:r>
        <w:t> </w:t>
      </w:r>
      <w:r w:rsidR="00776873" w:rsidRPr="00D52545">
        <w:rPr>
          <w:i/>
        </w:rPr>
        <w:t xml:space="preserve">Adjustable speed electrical power drive systems – Part 5-2: Safety requirements – </w:t>
      </w:r>
      <w:r w:rsidR="00AA38C9">
        <w:rPr>
          <w:i/>
        </w:rPr>
        <w:br/>
      </w:r>
      <w:r w:rsidR="00776873" w:rsidRPr="00D52545">
        <w:rPr>
          <w:i/>
        </w:rPr>
        <w:t>Functional</w:t>
      </w:r>
    </w:p>
    <w:p w14:paraId="33E0C6A3" w14:textId="3883F0DC" w:rsidR="005E5D70" w:rsidRPr="00D52545" w:rsidRDefault="00776873" w:rsidP="00803D55">
      <w:pPr>
        <w:pStyle w:val="Poznmka"/>
        <w:ind w:left="567"/>
      </w:pPr>
      <w:r w:rsidRPr="00D52545">
        <w:t>POZNÁMKA</w:t>
      </w:r>
      <w:r w:rsidRPr="00803D55">
        <w:rPr>
          <w:rFonts w:hint="eastAsia"/>
        </w:rPr>
        <w:t> </w:t>
      </w:r>
      <w:r w:rsidR="00206814" w:rsidRPr="00206814">
        <w:t xml:space="preserve"> </w:t>
      </w:r>
      <w:r w:rsidR="00206814">
        <w:t>Schválena jako</w:t>
      </w:r>
      <w:r w:rsidR="00206814" w:rsidRPr="00D52545">
        <w:t> </w:t>
      </w:r>
      <w:r w:rsidRPr="00D52545">
        <w:t>EN 61800-5-2.</w:t>
      </w:r>
    </w:p>
    <w:sectPr w:rsidR="005E5D70" w:rsidRPr="00D52545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56C36" w14:textId="77777777" w:rsidR="005D26BB" w:rsidRDefault="005D26BB">
      <w:r>
        <w:separator/>
      </w:r>
    </w:p>
  </w:endnote>
  <w:endnote w:type="continuationSeparator" w:id="0">
    <w:p w14:paraId="7B8170D8" w14:textId="77777777" w:rsidR="005D26BB" w:rsidRDefault="005D2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A0BBE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3C9159BB" w14:textId="77777777" w:rsidR="005E5D70" w:rsidRDefault="005E5D70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26AEA" w14:textId="77777777" w:rsidR="005E5D70" w:rsidRDefault="005E5D70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693AC5">
      <w:rPr>
        <w:rStyle w:val="slostrnky"/>
        <w:noProof/>
      </w:rPr>
      <w:t>9</w:t>
    </w:r>
    <w:r>
      <w:rPr>
        <w:rStyle w:val="slostrnky"/>
      </w:rPr>
      <w:fldChar w:fldCharType="end"/>
    </w:r>
  </w:p>
  <w:p w14:paraId="3C6C6235" w14:textId="77777777" w:rsidR="005E5D70" w:rsidRDefault="005E5D70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D0476" w14:textId="31B739F7" w:rsidR="005E5D70" w:rsidRPr="00BD63F3" w:rsidRDefault="00BD63F3" w:rsidP="00BD63F3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5AA40363" wp14:editId="6122C48E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6821485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A8BF9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62D78">
      <w:rPr>
        <w:rStyle w:val="slostrnky"/>
        <w:noProof/>
      </w:rPr>
      <w:t>8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003DF" w14:textId="77777777" w:rsidR="005E5D70" w:rsidRDefault="005E5D7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962D78">
      <w:rPr>
        <w:rStyle w:val="slostrnky"/>
        <w:noProof/>
      </w:rPr>
      <w:t>9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CE9C4" w14:textId="77777777" w:rsidR="005D26BB" w:rsidRDefault="005D26BB">
      <w:r>
        <w:separator/>
      </w:r>
    </w:p>
  </w:footnote>
  <w:footnote w:type="continuationSeparator" w:id="0">
    <w:p w14:paraId="0ECF708E" w14:textId="77777777" w:rsidR="005D26BB" w:rsidRDefault="005D26BB">
      <w:r>
        <w:continuationSeparator/>
      </w:r>
    </w:p>
  </w:footnote>
  <w:footnote w:id="1">
    <w:p w14:paraId="228B4DA9" w14:textId="77777777" w:rsidR="00B83EC5" w:rsidRDefault="00B83EC5" w:rsidP="00B83EC5">
      <w:pPr>
        <w:pStyle w:val="Textpoznpodarou"/>
        <w:ind w:left="284" w:hanging="284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tab/>
        <w:t>Tato technická zpráva je vydána v ISO jako ISO/TR 23849.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9A939" w14:textId="77777777" w:rsidR="005E5D70" w:rsidRDefault="00000000">
    <w:pPr>
      <w:pStyle w:val="Zhlav"/>
    </w:pPr>
    <w:r>
      <w:rPr>
        <w:noProof/>
      </w:rPr>
      <w:pict w14:anchorId="04F638C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32898" o:spid="_x0000_s1026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54B03" w14:textId="77777777" w:rsidR="005E5D70" w:rsidRDefault="00000000">
    <w:pPr>
      <w:pStyle w:val="Zhlav"/>
      <w:jc w:val="right"/>
    </w:pPr>
    <w:r>
      <w:rPr>
        <w:noProof/>
      </w:rPr>
      <w:pict w14:anchorId="74ED2B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32899" o:spid="_x0000_s1027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A7BC8" w14:textId="77777777" w:rsidR="008500EF" w:rsidRDefault="00000000">
    <w:pPr>
      <w:pStyle w:val="Zhlav"/>
    </w:pPr>
    <w:r>
      <w:rPr>
        <w:noProof/>
      </w:rPr>
      <w:pict w14:anchorId="49A69A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32897" o:spid="_x0000_s1025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46381" w14:textId="77777777" w:rsidR="005E5D70" w:rsidRDefault="00000000">
    <w:pPr>
      <w:pStyle w:val="Zhlav"/>
    </w:pPr>
    <w:r>
      <w:rPr>
        <w:noProof/>
      </w:rPr>
      <w:pict w14:anchorId="2584059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32901" o:spid="_x0000_s1029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E5D70">
      <w:t xml:space="preserve">TNI </w:t>
    </w:r>
    <w:r w:rsidR="00F15822">
      <w:t>CLC IEC</w:t>
    </w:r>
    <w:r w:rsidR="005E5D70">
      <w:t xml:space="preserve">/TR </w:t>
    </w:r>
    <w:r w:rsidR="00F15822">
      <w:t>62061-1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BD99C" w14:textId="77777777" w:rsidR="005E5D70" w:rsidRDefault="00000000">
    <w:pPr>
      <w:pStyle w:val="Zhlav"/>
      <w:jc w:val="right"/>
    </w:pPr>
    <w:r>
      <w:rPr>
        <w:noProof/>
      </w:rPr>
      <w:pict w14:anchorId="54D753D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32902" o:spid="_x0000_s1030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15822">
      <w:t>TNI CLC IEC/TR 62061-1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1A6B7" w14:textId="77777777" w:rsidR="008500EF" w:rsidRDefault="00000000">
    <w:pPr>
      <w:pStyle w:val="Zhlav"/>
    </w:pPr>
    <w:r>
      <w:rPr>
        <w:noProof/>
      </w:rPr>
      <w:pict w14:anchorId="63B90F3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132900" o:spid="_x0000_s1028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B030C100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2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3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5" w15:restartNumberingAfterBreak="0">
    <w:nsid w:val="48B8050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9" w15:restartNumberingAfterBreak="0">
    <w:nsid w:val="5A744DB8"/>
    <w:multiLevelType w:val="hybridMultilevel"/>
    <w:tmpl w:val="9BA44F0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660426688">
    <w:abstractNumId w:val="8"/>
  </w:num>
  <w:num w:numId="2" w16cid:durableId="4064150">
    <w:abstractNumId w:val="4"/>
  </w:num>
  <w:num w:numId="3" w16cid:durableId="1556888996">
    <w:abstractNumId w:val="6"/>
  </w:num>
  <w:num w:numId="4" w16cid:durableId="1544052759">
    <w:abstractNumId w:val="1"/>
  </w:num>
  <w:num w:numId="5" w16cid:durableId="950862765">
    <w:abstractNumId w:val="2"/>
  </w:num>
  <w:num w:numId="6" w16cid:durableId="2049839500">
    <w:abstractNumId w:val="10"/>
    <w:lvlOverride w:ilvl="0">
      <w:startOverride w:val="1"/>
    </w:lvlOverride>
  </w:num>
  <w:num w:numId="7" w16cid:durableId="1363281069">
    <w:abstractNumId w:val="7"/>
  </w:num>
  <w:num w:numId="8" w16cid:durableId="1260793504">
    <w:abstractNumId w:val="3"/>
  </w:num>
  <w:num w:numId="9" w16cid:durableId="434594469">
    <w:abstractNumId w:val="3"/>
  </w:num>
  <w:num w:numId="10" w16cid:durableId="1125349444">
    <w:abstractNumId w:val="5"/>
  </w:num>
  <w:num w:numId="11" w16cid:durableId="485364023">
    <w:abstractNumId w:val="10"/>
  </w:num>
  <w:num w:numId="12" w16cid:durableId="299773207">
    <w:abstractNumId w:val="2"/>
  </w:num>
  <w:num w:numId="13" w16cid:durableId="529145417">
    <w:abstractNumId w:val="8"/>
  </w:num>
  <w:num w:numId="14" w16cid:durableId="1188173624">
    <w:abstractNumId w:val="6"/>
  </w:num>
  <w:num w:numId="15" w16cid:durableId="687680333">
    <w:abstractNumId w:val="3"/>
  </w:num>
  <w:num w:numId="16" w16cid:durableId="258802114">
    <w:abstractNumId w:val="4"/>
  </w:num>
  <w:num w:numId="17" w16cid:durableId="845755499">
    <w:abstractNumId w:val="1"/>
  </w:num>
  <w:num w:numId="18" w16cid:durableId="1287155863">
    <w:abstractNumId w:val="10"/>
  </w:num>
  <w:num w:numId="19" w16cid:durableId="158424232">
    <w:abstractNumId w:val="2"/>
  </w:num>
  <w:num w:numId="20" w16cid:durableId="1603955136">
    <w:abstractNumId w:val="8"/>
  </w:num>
  <w:num w:numId="21" w16cid:durableId="366679572">
    <w:abstractNumId w:val="6"/>
  </w:num>
  <w:num w:numId="22" w16cid:durableId="1983074171">
    <w:abstractNumId w:val="3"/>
  </w:num>
  <w:num w:numId="23" w16cid:durableId="679160869">
    <w:abstractNumId w:val="4"/>
  </w:num>
  <w:num w:numId="24" w16cid:durableId="1352730957">
    <w:abstractNumId w:val="1"/>
  </w:num>
  <w:num w:numId="25" w16cid:durableId="1294866053">
    <w:abstractNumId w:val="9"/>
  </w:num>
  <w:num w:numId="26" w16cid:durableId="7591080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322"/>
    <w:rsid w:val="0000374E"/>
    <w:rsid w:val="0005070E"/>
    <w:rsid w:val="000538A8"/>
    <w:rsid w:val="00065BB0"/>
    <w:rsid w:val="00083EAE"/>
    <w:rsid w:val="000B0C7F"/>
    <w:rsid w:val="000C0ADB"/>
    <w:rsid w:val="000C223F"/>
    <w:rsid w:val="000C4EFF"/>
    <w:rsid w:val="000C5F58"/>
    <w:rsid w:val="000D1814"/>
    <w:rsid w:val="001012EF"/>
    <w:rsid w:val="00125DE8"/>
    <w:rsid w:val="00136740"/>
    <w:rsid w:val="00166312"/>
    <w:rsid w:val="00196773"/>
    <w:rsid w:val="001A399C"/>
    <w:rsid w:val="001B4191"/>
    <w:rsid w:val="001C2D66"/>
    <w:rsid w:val="001C3B6A"/>
    <w:rsid w:val="001C4561"/>
    <w:rsid w:val="002057BD"/>
    <w:rsid w:val="00206814"/>
    <w:rsid w:val="00210D23"/>
    <w:rsid w:val="0021788D"/>
    <w:rsid w:val="002335B5"/>
    <w:rsid w:val="00244A62"/>
    <w:rsid w:val="002600CB"/>
    <w:rsid w:val="00283725"/>
    <w:rsid w:val="002C74A3"/>
    <w:rsid w:val="002E77C1"/>
    <w:rsid w:val="00310B95"/>
    <w:rsid w:val="00320531"/>
    <w:rsid w:val="00334BD4"/>
    <w:rsid w:val="00344A12"/>
    <w:rsid w:val="00344D00"/>
    <w:rsid w:val="00362153"/>
    <w:rsid w:val="003705F1"/>
    <w:rsid w:val="00380450"/>
    <w:rsid w:val="003A1688"/>
    <w:rsid w:val="003E087B"/>
    <w:rsid w:val="003E23A2"/>
    <w:rsid w:val="00407005"/>
    <w:rsid w:val="00416192"/>
    <w:rsid w:val="00425277"/>
    <w:rsid w:val="00446FD9"/>
    <w:rsid w:val="00450CF4"/>
    <w:rsid w:val="004543EF"/>
    <w:rsid w:val="00470333"/>
    <w:rsid w:val="00473398"/>
    <w:rsid w:val="00481B79"/>
    <w:rsid w:val="00482214"/>
    <w:rsid w:val="00486212"/>
    <w:rsid w:val="004901EE"/>
    <w:rsid w:val="00493A76"/>
    <w:rsid w:val="00495851"/>
    <w:rsid w:val="004B320C"/>
    <w:rsid w:val="004D48EC"/>
    <w:rsid w:val="004E41B6"/>
    <w:rsid w:val="004E4FE8"/>
    <w:rsid w:val="004E55A7"/>
    <w:rsid w:val="00501277"/>
    <w:rsid w:val="00506F93"/>
    <w:rsid w:val="00507938"/>
    <w:rsid w:val="005203DB"/>
    <w:rsid w:val="005421FE"/>
    <w:rsid w:val="00554CBE"/>
    <w:rsid w:val="00572887"/>
    <w:rsid w:val="005820CF"/>
    <w:rsid w:val="005944D5"/>
    <w:rsid w:val="005D26BB"/>
    <w:rsid w:val="005E5D70"/>
    <w:rsid w:val="005E6642"/>
    <w:rsid w:val="005F6955"/>
    <w:rsid w:val="00601C25"/>
    <w:rsid w:val="00614330"/>
    <w:rsid w:val="00614459"/>
    <w:rsid w:val="00635F7E"/>
    <w:rsid w:val="00654B50"/>
    <w:rsid w:val="00662093"/>
    <w:rsid w:val="006653A1"/>
    <w:rsid w:val="00675472"/>
    <w:rsid w:val="00693AC5"/>
    <w:rsid w:val="006C2875"/>
    <w:rsid w:val="006C7D35"/>
    <w:rsid w:val="006E6925"/>
    <w:rsid w:val="0070171A"/>
    <w:rsid w:val="00717A92"/>
    <w:rsid w:val="00723D9D"/>
    <w:rsid w:val="00726EDD"/>
    <w:rsid w:val="00732C44"/>
    <w:rsid w:val="0075441A"/>
    <w:rsid w:val="00774462"/>
    <w:rsid w:val="00775CF1"/>
    <w:rsid w:val="00776873"/>
    <w:rsid w:val="00783F7B"/>
    <w:rsid w:val="00792D28"/>
    <w:rsid w:val="007C242E"/>
    <w:rsid w:val="00803D55"/>
    <w:rsid w:val="00837869"/>
    <w:rsid w:val="00845E70"/>
    <w:rsid w:val="008500EF"/>
    <w:rsid w:val="0085127F"/>
    <w:rsid w:val="00852A2E"/>
    <w:rsid w:val="00856790"/>
    <w:rsid w:val="0086019A"/>
    <w:rsid w:val="00863ACF"/>
    <w:rsid w:val="008A40DE"/>
    <w:rsid w:val="008A5E02"/>
    <w:rsid w:val="008D4DC6"/>
    <w:rsid w:val="00911020"/>
    <w:rsid w:val="009163A1"/>
    <w:rsid w:val="00917BC1"/>
    <w:rsid w:val="00920ACD"/>
    <w:rsid w:val="009247F8"/>
    <w:rsid w:val="009302C0"/>
    <w:rsid w:val="009571E0"/>
    <w:rsid w:val="00962D78"/>
    <w:rsid w:val="00962E58"/>
    <w:rsid w:val="009760A5"/>
    <w:rsid w:val="00992523"/>
    <w:rsid w:val="009A0CCD"/>
    <w:rsid w:val="009A24ED"/>
    <w:rsid w:val="009B3AFB"/>
    <w:rsid w:val="009B6101"/>
    <w:rsid w:val="009C0B5A"/>
    <w:rsid w:val="009C571B"/>
    <w:rsid w:val="009E3023"/>
    <w:rsid w:val="00A07934"/>
    <w:rsid w:val="00A23927"/>
    <w:rsid w:val="00A53AEC"/>
    <w:rsid w:val="00A81D2A"/>
    <w:rsid w:val="00AA38C9"/>
    <w:rsid w:val="00AA7871"/>
    <w:rsid w:val="00AA7EEB"/>
    <w:rsid w:val="00AB2B26"/>
    <w:rsid w:val="00AC249F"/>
    <w:rsid w:val="00AC4AB8"/>
    <w:rsid w:val="00AC70ED"/>
    <w:rsid w:val="00AD453B"/>
    <w:rsid w:val="00AE5914"/>
    <w:rsid w:val="00AF0627"/>
    <w:rsid w:val="00B025C1"/>
    <w:rsid w:val="00B030EE"/>
    <w:rsid w:val="00B175F3"/>
    <w:rsid w:val="00B41533"/>
    <w:rsid w:val="00B65355"/>
    <w:rsid w:val="00B720E6"/>
    <w:rsid w:val="00B74DF4"/>
    <w:rsid w:val="00B764E1"/>
    <w:rsid w:val="00B83CD4"/>
    <w:rsid w:val="00B83EC5"/>
    <w:rsid w:val="00BA67FB"/>
    <w:rsid w:val="00BB53D3"/>
    <w:rsid w:val="00BC55F7"/>
    <w:rsid w:val="00BD5822"/>
    <w:rsid w:val="00BD63F3"/>
    <w:rsid w:val="00BD7F83"/>
    <w:rsid w:val="00C00E64"/>
    <w:rsid w:val="00C157AE"/>
    <w:rsid w:val="00CB0424"/>
    <w:rsid w:val="00CB316C"/>
    <w:rsid w:val="00CB4A9B"/>
    <w:rsid w:val="00CC61F0"/>
    <w:rsid w:val="00CC6EDF"/>
    <w:rsid w:val="00CF266E"/>
    <w:rsid w:val="00CF3A77"/>
    <w:rsid w:val="00D0165F"/>
    <w:rsid w:val="00D344B0"/>
    <w:rsid w:val="00D37322"/>
    <w:rsid w:val="00D52545"/>
    <w:rsid w:val="00D71A9E"/>
    <w:rsid w:val="00D965B0"/>
    <w:rsid w:val="00D97D5F"/>
    <w:rsid w:val="00DA12A8"/>
    <w:rsid w:val="00DA63F6"/>
    <w:rsid w:val="00DB0E9D"/>
    <w:rsid w:val="00DD26A8"/>
    <w:rsid w:val="00DD5CEF"/>
    <w:rsid w:val="00DF7D7A"/>
    <w:rsid w:val="00E23E56"/>
    <w:rsid w:val="00E55CAE"/>
    <w:rsid w:val="00E77CB0"/>
    <w:rsid w:val="00EA5F72"/>
    <w:rsid w:val="00EE4402"/>
    <w:rsid w:val="00EF1DDC"/>
    <w:rsid w:val="00F127D2"/>
    <w:rsid w:val="00F15822"/>
    <w:rsid w:val="00F34923"/>
    <w:rsid w:val="00F52323"/>
    <w:rsid w:val="00F53226"/>
    <w:rsid w:val="00F72085"/>
    <w:rsid w:val="00F74515"/>
    <w:rsid w:val="00F75366"/>
    <w:rsid w:val="00F929A5"/>
    <w:rsid w:val="00FB0FEB"/>
    <w:rsid w:val="00FB1DE4"/>
    <w:rsid w:val="00FE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  <w14:docId w14:val="7CCA3D98"/>
  <w15:chartTrackingRefBased/>
  <w15:docId w15:val="{2FE2ED55-48F8-4818-8ECA-52AD93396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5441A"/>
  </w:style>
  <w:style w:type="paragraph" w:styleId="Nadpis1">
    <w:name w:val="heading 1"/>
    <w:basedOn w:val="Nadpiskapitoly"/>
    <w:next w:val="Textnormy"/>
    <w:link w:val="Nadpis1Char"/>
    <w:qFormat/>
    <w:rsid w:val="0075441A"/>
    <w:pPr>
      <w:outlineLvl w:val="0"/>
    </w:pPr>
  </w:style>
  <w:style w:type="paragraph" w:styleId="Nadpis2">
    <w:name w:val="heading 2"/>
    <w:basedOn w:val="Nadpislnku"/>
    <w:next w:val="Textnormy"/>
    <w:qFormat/>
    <w:rsid w:val="0075441A"/>
    <w:pPr>
      <w:outlineLvl w:val="1"/>
    </w:pPr>
  </w:style>
  <w:style w:type="paragraph" w:styleId="Nadpis3">
    <w:name w:val="heading 3"/>
    <w:basedOn w:val="Nadpislnku"/>
    <w:next w:val="Textnormy"/>
    <w:qFormat/>
    <w:rsid w:val="0075441A"/>
    <w:pPr>
      <w:outlineLvl w:val="2"/>
    </w:pPr>
  </w:style>
  <w:style w:type="paragraph" w:styleId="Nadpis4">
    <w:name w:val="heading 4"/>
    <w:basedOn w:val="Nadpislnku"/>
    <w:next w:val="Textnormy"/>
    <w:qFormat/>
    <w:rsid w:val="0075441A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5441A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5441A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5441A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5441A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5441A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5441A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5441A"/>
  </w:style>
  <w:style w:type="paragraph" w:customStyle="1" w:styleId="Nadpiskapitoly">
    <w:name w:val="Nadpis kapitoly"/>
    <w:basedOn w:val="Nadpislnku"/>
    <w:next w:val="Textnormy"/>
    <w:rsid w:val="0075441A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5441A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5441A"/>
    <w:pPr>
      <w:spacing w:after="120"/>
      <w:jc w:val="both"/>
    </w:pPr>
  </w:style>
  <w:style w:type="paragraph" w:customStyle="1" w:styleId="1StrTrZn">
    <w:name w:val="1StrTrZn"/>
    <w:basedOn w:val="Textnormy"/>
    <w:rsid w:val="0075441A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5441A"/>
    <w:pPr>
      <w:spacing w:before="480"/>
    </w:pPr>
  </w:style>
  <w:style w:type="paragraph" w:customStyle="1" w:styleId="1StrNN-1-23">
    <w:name w:val="1StrNN-1-23"/>
    <w:basedOn w:val="Textnormy"/>
    <w:rsid w:val="0075441A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link w:val="CizojazynnzevChar"/>
    <w:rsid w:val="0075441A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5441A"/>
    <w:pPr>
      <w:numPr>
        <w:numId w:val="2"/>
      </w:numPr>
    </w:pPr>
  </w:style>
  <w:style w:type="paragraph" w:styleId="Rejstk1">
    <w:name w:val="index 1"/>
    <w:basedOn w:val="Textnormy"/>
    <w:next w:val="Textnormy"/>
    <w:rsid w:val="0075441A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5441A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5441A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5441A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5441A"/>
    <w:pPr>
      <w:spacing w:before="0" w:after="120"/>
      <w:ind w:left="284" w:hanging="284"/>
    </w:pPr>
  </w:style>
  <w:style w:type="paragraph" w:styleId="Zhlav">
    <w:name w:val="header"/>
    <w:basedOn w:val="Textnormy"/>
    <w:rsid w:val="0075441A"/>
    <w:pPr>
      <w:spacing w:after="360"/>
    </w:pPr>
    <w:rPr>
      <w:sz w:val="18"/>
    </w:rPr>
  </w:style>
  <w:style w:type="paragraph" w:styleId="Zpat">
    <w:name w:val="footer"/>
    <w:basedOn w:val="Textnormy"/>
    <w:rsid w:val="0075441A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5441A"/>
    <w:pPr>
      <w:spacing w:after="120"/>
    </w:pPr>
  </w:style>
  <w:style w:type="paragraph" w:styleId="Obsah2">
    <w:name w:val="toc 2"/>
    <w:basedOn w:val="Obsah1"/>
    <w:next w:val="Textnormy"/>
    <w:uiPriority w:val="39"/>
    <w:rsid w:val="0075441A"/>
  </w:style>
  <w:style w:type="paragraph" w:styleId="Obsah1">
    <w:name w:val="toc 1"/>
    <w:basedOn w:val="Textnormy"/>
    <w:next w:val="Textnormy"/>
    <w:uiPriority w:val="39"/>
    <w:rsid w:val="0075441A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styleId="Obsah5">
    <w:name w:val="toc 5"/>
    <w:basedOn w:val="Obsah1"/>
    <w:next w:val="Textnormy"/>
    <w:rsid w:val="0075441A"/>
  </w:style>
  <w:style w:type="paragraph" w:styleId="Obsah3">
    <w:name w:val="toc 3"/>
    <w:basedOn w:val="Obsah1"/>
    <w:next w:val="Textnormy"/>
    <w:rsid w:val="0075441A"/>
  </w:style>
  <w:style w:type="paragraph" w:styleId="Obsah4">
    <w:name w:val="toc 4"/>
    <w:basedOn w:val="Obsah1"/>
    <w:next w:val="Textnormy"/>
    <w:rsid w:val="0075441A"/>
  </w:style>
  <w:style w:type="paragraph" w:styleId="Obsah6">
    <w:name w:val="toc 6"/>
    <w:basedOn w:val="Obsah1"/>
    <w:next w:val="Textnormy"/>
    <w:semiHidden/>
    <w:rsid w:val="0075441A"/>
  </w:style>
  <w:style w:type="paragraph" w:styleId="Obsah7">
    <w:name w:val="toc 7"/>
    <w:basedOn w:val="Obsah1"/>
    <w:next w:val="Textnormy"/>
    <w:semiHidden/>
    <w:rsid w:val="0075441A"/>
  </w:style>
  <w:style w:type="paragraph" w:styleId="Obsah8">
    <w:name w:val="toc 8"/>
    <w:basedOn w:val="Obsah1"/>
    <w:next w:val="Textnormy"/>
    <w:semiHidden/>
    <w:rsid w:val="0075441A"/>
  </w:style>
  <w:style w:type="character" w:styleId="Znakapoznpodarou">
    <w:name w:val="footnote reference"/>
    <w:basedOn w:val="Standardnpsmoodstavce"/>
    <w:rsid w:val="0075441A"/>
    <w:rPr>
      <w:vertAlign w:val="superscript"/>
    </w:rPr>
  </w:style>
  <w:style w:type="paragraph" w:customStyle="1" w:styleId="ABCseznamCZ">
    <w:name w:val="ABC seznamCZ"/>
    <w:basedOn w:val="Textnormy"/>
    <w:rsid w:val="0075441A"/>
    <w:pPr>
      <w:numPr>
        <w:numId w:val="11"/>
      </w:numPr>
    </w:pPr>
  </w:style>
  <w:style w:type="paragraph" w:customStyle="1" w:styleId="slovanseznamvnorm">
    <w:name w:val="Číslovaný seznam v normě"/>
    <w:basedOn w:val="Textnormy"/>
    <w:rsid w:val="0075441A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5441A"/>
    <w:pPr>
      <w:numPr>
        <w:numId w:val="4"/>
      </w:numPr>
      <w:tabs>
        <w:tab w:val="clear" w:pos="360"/>
      </w:tabs>
    </w:pPr>
  </w:style>
  <w:style w:type="paragraph" w:customStyle="1" w:styleId="Obrzek">
    <w:name w:val="Obrázek"/>
    <w:basedOn w:val="Textnormy"/>
    <w:next w:val="Normln"/>
    <w:rsid w:val="0075441A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75441A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75441A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5441A"/>
    <w:pPr>
      <w:ind w:left="1600"/>
    </w:pPr>
  </w:style>
  <w:style w:type="paragraph" w:customStyle="1" w:styleId="1Str1Rad">
    <w:name w:val="1Str1Rad"/>
    <w:basedOn w:val="Textnormy"/>
    <w:rsid w:val="0075441A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5441A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5441A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5441A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75441A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5441A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5441A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5441A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5441A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5441A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5441A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5441A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5441A"/>
    <w:pPr>
      <w:spacing w:before="300"/>
    </w:pPr>
  </w:style>
  <w:style w:type="paragraph" w:customStyle="1" w:styleId="1StrNN-X">
    <w:name w:val="1StrNN-X"/>
    <w:basedOn w:val="1StrNN-1-23"/>
    <w:rsid w:val="0075441A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5441A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5441A"/>
    <w:pPr>
      <w:spacing w:before="800"/>
    </w:pPr>
  </w:style>
  <w:style w:type="paragraph" w:customStyle="1" w:styleId="1StrNN-2-4">
    <w:name w:val="1StrNN-2-4"/>
    <w:basedOn w:val="1StrNN-1-23"/>
    <w:rsid w:val="0075441A"/>
  </w:style>
  <w:style w:type="paragraph" w:customStyle="1" w:styleId="1StrNN-3-4">
    <w:name w:val="1StrNN-3-4"/>
    <w:basedOn w:val="1StrNN-1-23"/>
    <w:rsid w:val="0075441A"/>
    <w:pPr>
      <w:spacing w:before="460"/>
    </w:pPr>
  </w:style>
  <w:style w:type="paragraph" w:customStyle="1" w:styleId="1StrNN-4-4">
    <w:name w:val="1StrNN-4-4"/>
    <w:basedOn w:val="1StrNN-1-23"/>
    <w:rsid w:val="0075441A"/>
    <w:pPr>
      <w:spacing w:before="340"/>
    </w:pPr>
  </w:style>
  <w:style w:type="paragraph" w:customStyle="1" w:styleId="ABCSeznamUS">
    <w:name w:val="ABC SeznamUS"/>
    <w:basedOn w:val="Textnormy"/>
    <w:rsid w:val="0075441A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5441A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5441A"/>
    <w:pPr>
      <w:jc w:val="left"/>
    </w:pPr>
  </w:style>
  <w:style w:type="paragraph" w:customStyle="1" w:styleId="1StrNN-4-3">
    <w:name w:val="1StrNN-4-3"/>
    <w:basedOn w:val="1StrNN-1-23"/>
    <w:rsid w:val="0075441A"/>
    <w:pPr>
      <w:spacing w:before="160"/>
    </w:pPr>
  </w:style>
  <w:style w:type="paragraph" w:customStyle="1" w:styleId="Upozornn">
    <w:name w:val="Upozornění"/>
    <w:basedOn w:val="Normln"/>
    <w:rsid w:val="0075441A"/>
    <w:pPr>
      <w:framePr w:w="9356" w:hSpace="142" w:wrap="around" w:hAnchor="margin" w:yAlign="bottom" w:anchorLock="1"/>
      <w:jc w:val="both"/>
    </w:pPr>
    <w:rPr>
      <w:sz w:val="18"/>
    </w:rPr>
  </w:style>
  <w:style w:type="paragraph" w:styleId="Zptenadresanaoblku">
    <w:name w:val="envelope return"/>
    <w:basedOn w:val="Normln"/>
    <w:semiHidden/>
    <w:rsid w:val="0075441A"/>
  </w:style>
  <w:style w:type="character" w:customStyle="1" w:styleId="TextnormyChar1">
    <w:name w:val="Text normy Char1"/>
    <w:basedOn w:val="Standardnpsmoodstavce"/>
    <w:link w:val="Textnormy"/>
    <w:rsid w:val="0075441A"/>
  </w:style>
  <w:style w:type="paragraph" w:customStyle="1" w:styleId="bibliografie">
    <w:name w:val="bibliografie"/>
    <w:basedOn w:val="slovanseznamvnorm"/>
    <w:next w:val="Textnormy"/>
    <w:rsid w:val="0075441A"/>
    <w:pPr>
      <w:numPr>
        <w:numId w:val="8"/>
      </w:numPr>
      <w:tabs>
        <w:tab w:val="clear" w:pos="360"/>
      </w:tabs>
      <w:ind w:left="567" w:hanging="567"/>
    </w:pPr>
  </w:style>
  <w:style w:type="character" w:customStyle="1" w:styleId="Nadpis1Char">
    <w:name w:val="Nadpis 1 Char"/>
    <w:link w:val="Nadpis1"/>
    <w:rsid w:val="0075441A"/>
    <w:rPr>
      <w:b/>
      <w:sz w:val="24"/>
    </w:rPr>
  </w:style>
  <w:style w:type="character" w:styleId="Hypertextovodkaz">
    <w:name w:val="Hyperlink"/>
    <w:unhideWhenUsed/>
    <w:rsid w:val="0075441A"/>
    <w:rPr>
      <w:color w:val="0000FF"/>
      <w:u w:val="single"/>
    </w:rPr>
  </w:style>
  <w:style w:type="table" w:styleId="Mkatabulky">
    <w:name w:val="Table Grid"/>
    <w:basedOn w:val="Normlntabulka"/>
    <w:rsid w:val="007544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nhideWhenUsed/>
    <w:rsid w:val="0075441A"/>
    <w:rPr>
      <w:sz w:val="16"/>
      <w:szCs w:val="16"/>
    </w:rPr>
  </w:style>
  <w:style w:type="paragraph" w:styleId="Textbubliny">
    <w:name w:val="Balloon Text"/>
    <w:basedOn w:val="Normln"/>
    <w:link w:val="TextbublinyChar"/>
    <w:semiHidden/>
    <w:rsid w:val="0075441A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75441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semiHidden/>
    <w:rsid w:val="0075441A"/>
  </w:style>
  <w:style w:type="character" w:customStyle="1" w:styleId="TextkomenteChar">
    <w:name w:val="Text komentáře Char"/>
    <w:basedOn w:val="Standardnpsmoodstavce"/>
    <w:link w:val="Textkomente"/>
    <w:semiHidden/>
    <w:rsid w:val="0075441A"/>
  </w:style>
  <w:style w:type="character" w:customStyle="1" w:styleId="TextnormyCharChar">
    <w:name w:val="Text normy Char Char"/>
    <w:semiHidden/>
    <w:rsid w:val="0075441A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5441A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5441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5441A"/>
    <w:rPr>
      <w:b/>
      <w:bCs/>
    </w:rPr>
  </w:style>
  <w:style w:type="paragraph" w:customStyle="1" w:styleId="NadpisObr">
    <w:name w:val="NadpisObr"/>
    <w:basedOn w:val="Nadpis4"/>
    <w:next w:val="Textnormy"/>
    <w:qFormat/>
    <w:rsid w:val="0075441A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5441A"/>
    <w:pPr>
      <w:jc w:val="center"/>
    </w:pPr>
  </w:style>
  <w:style w:type="character" w:customStyle="1" w:styleId="CizojazynnzevChar">
    <w:name w:val="Cizojazyčný název Char"/>
    <w:link w:val="Cizojazynnzev"/>
    <w:locked/>
    <w:rsid w:val="00776873"/>
    <w:rPr>
      <w:sz w:val="18"/>
      <w:lang w:val="en-GB"/>
    </w:rPr>
  </w:style>
  <w:style w:type="paragraph" w:styleId="Seznamsodrkami3">
    <w:name w:val="List Bullet 3"/>
    <w:basedOn w:val="Normln"/>
    <w:rsid w:val="00776873"/>
    <w:pPr>
      <w:numPr>
        <w:numId w:val="26"/>
      </w:numPr>
      <w:tabs>
        <w:tab w:val="clear" w:pos="926"/>
        <w:tab w:val="num" w:pos="360"/>
      </w:tabs>
      <w:ind w:left="0" w:firstLine="0"/>
    </w:pPr>
  </w:style>
  <w:style w:type="character" w:customStyle="1" w:styleId="NadpislnkuChar">
    <w:name w:val="Nadpis článku Char"/>
    <w:link w:val="Nadpislnku"/>
    <w:rsid w:val="0075441A"/>
    <w:rPr>
      <w:b/>
    </w:rPr>
  </w:style>
  <w:style w:type="paragraph" w:styleId="Revize">
    <w:name w:val="Revision"/>
    <w:hidden/>
    <w:uiPriority w:val="99"/>
    <w:semiHidden/>
    <w:rsid w:val="00FB0FEB"/>
  </w:style>
  <w:style w:type="character" w:customStyle="1" w:styleId="cf01">
    <w:name w:val="cf01"/>
    <w:basedOn w:val="Standardnpsmoodstavce"/>
    <w:rsid w:val="0075441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iec.ch/members_experts/refdocs" TargetMode="External"/><Relationship Id="rId18" Type="http://schemas.openxmlformats.org/officeDocument/2006/relationships/image" Target="media/image2.emf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eshop.agentura-cas.cz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agenturacas.gov.cz/" TargetMode="Externa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webstore.iec.ch" TargetMode="External"/><Relationship Id="rId23" Type="http://schemas.openxmlformats.org/officeDocument/2006/relationships/header" Target="header6.xml"/><Relationship Id="rId10" Type="http://schemas.openxmlformats.org/officeDocument/2006/relationships/footer" Target="foot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ww.iec.ch/standardsdev/publications" TargetMode="External"/><Relationship Id="rId22" Type="http://schemas.openxmlformats.org/officeDocument/2006/relationships/footer" Target="footer5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Edicni\SABLONY\Aktualni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2</TotalTime>
  <Pages>10</Pages>
  <Words>1667</Words>
  <Characters>9836</Characters>
  <Application>Microsoft Office Word</Application>
  <DocSecurity>0</DocSecurity>
  <Lines>81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ÚNMZ</Company>
  <LinksUpToDate>false</LinksUpToDate>
  <CharactersWithSpaces>11481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Koutská Miloslava</dc:creator>
  <cp:keywords/>
  <cp:lastModifiedBy>Koutská Miloslava</cp:lastModifiedBy>
  <cp:revision>5</cp:revision>
  <cp:lastPrinted>2017-12-29T08:14:00Z</cp:lastPrinted>
  <dcterms:created xsi:type="dcterms:W3CDTF">2024-09-05T06:48:00Z</dcterms:created>
  <dcterms:modified xsi:type="dcterms:W3CDTF">2025-02-04T08:16:00Z</dcterms:modified>
</cp:coreProperties>
</file>