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19191" w14:textId="77777777" w:rsidR="00A83EAB" w:rsidRDefault="0013039D">
      <w:pPr>
        <w:pStyle w:val="esknorma"/>
      </w:pPr>
      <w:r>
        <w:rPr>
          <w:noProof/>
        </w:rPr>
        <mc:AlternateContent>
          <mc:Choice Requires="wps">
            <w:drawing>
              <wp:anchor distT="0" distB="0" distL="114300" distR="114300" simplePos="0" relativeHeight="251657728" behindDoc="0" locked="1" layoutInCell="0" allowOverlap="1" wp14:anchorId="549A05C7" wp14:editId="33DC7EC8">
                <wp:simplePos x="0" y="0"/>
                <wp:positionH relativeFrom="page">
                  <wp:posOffset>648335</wp:posOffset>
                </wp:positionH>
                <wp:positionV relativeFrom="page">
                  <wp:posOffset>9613265</wp:posOffset>
                </wp:positionV>
                <wp:extent cx="6299835" cy="635"/>
                <wp:effectExtent l="0" t="0" r="0" b="0"/>
                <wp:wrapNone/>
                <wp:docPr id="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9835" cy="635"/>
                        </a:xfrm>
                        <a:prstGeom prst="line">
                          <a:avLst/>
                        </a:prstGeom>
                        <a:noFill/>
                        <a:ln w="19050">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28F4381" id="Line 4"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51.05pt,756.95pt" to="547.1pt,7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" o:allowincell="f" strokeweight="1.5pt">
                <v:stroke startarrowwidth="narrow" startarrowlength="short" endarrowwidth="narrow" endarrowlength="short"/>
                <w10:wrap anchorx="page" anchory="page"/>
                <w10:anchorlock/>
              </v:line>
            </w:pict>
          </mc:Fallback>
        </mc:AlternateContent>
      </w:r>
      <w:r w:rsidR="00A83EAB">
        <w:t>ČESKÁ TECHNICKÁ NORMA</w:t>
      </w:r>
    </w:p>
    <w:p w14:paraId="78CA62C8" w14:textId="46DDFE2B" w:rsidR="00A83EAB" w:rsidRDefault="00D32EBF">
      <w:pPr>
        <w:pStyle w:val="1Str1Rad"/>
        <w:spacing w:after="60"/>
        <w:rPr>
          <w:b/>
        </w:rPr>
      </w:pPr>
      <w:r>
        <w:rPr>
          <w:sz w:val="16"/>
        </w:rPr>
        <w:t xml:space="preserve">ICS </w:t>
      </w:r>
      <w:r w:rsidRPr="004608F9">
        <w:rPr>
          <w:sz w:val="16"/>
        </w:rPr>
        <w:t>01.040.29;</w:t>
      </w:r>
      <w:r>
        <w:rPr>
          <w:sz w:val="16"/>
        </w:rPr>
        <w:t xml:space="preserve"> 13.260; 29.020</w:t>
      </w:r>
      <w:r w:rsidR="00A83EAB">
        <w:tab/>
      </w:r>
      <w:r w:rsidR="00A83EAB">
        <w:tab/>
      </w:r>
      <w:r w:rsidR="00A83EAB">
        <w:rPr>
          <w:b/>
        </w:rPr>
        <w:t xml:space="preserve">Měsíc </w:t>
      </w:r>
      <w:r>
        <w:rPr>
          <w:b/>
        </w:rPr>
        <w:t>Rok</w:t>
      </w:r>
    </w:p>
    <w:tbl>
      <w:tblPr>
        <w:tblW w:w="0" w:type="auto"/>
        <w:tblBorders>
          <w:top w:val="single" w:sz="12" w:space="0" w:color="auto"/>
          <w:bottom w:val="single" w:sz="12" w:space="0" w:color="auto"/>
        </w:tblBorders>
        <w:tblLayout w:type="fixed"/>
        <w:tblCellMar>
          <w:left w:w="0" w:type="dxa"/>
          <w:right w:w="0" w:type="dxa"/>
        </w:tblCellMar>
        <w:tblLook w:val="0000" w:firstRow="0" w:lastRow="0" w:firstColumn="0" w:lastColumn="0" w:noHBand="0" w:noVBand="0"/>
      </w:tblPr>
      <w:tblGrid>
        <w:gridCol w:w="7371"/>
        <w:gridCol w:w="2552"/>
      </w:tblGrid>
      <w:tr w:rsidR="00A83EAB" w14:paraId="60D82964" w14:textId="77777777">
        <w:trPr>
          <w:cantSplit/>
          <w:trHeight w:val="1701"/>
        </w:trPr>
        <w:tc>
          <w:tcPr>
            <w:tcW w:w="7371" w:type="dxa"/>
          </w:tcPr>
          <w:p w14:paraId="073C7D48" w14:textId="38589D99" w:rsidR="00A83EAB" w:rsidRDefault="00D32EBF" w:rsidP="00D32EBF">
            <w:pPr>
              <w:pStyle w:val="1StrNN-3-23"/>
            </w:pPr>
            <w:r>
              <w:t>Mezinárodní elektrotechnický slovník –</w:t>
            </w:r>
            <w:r>
              <w:br/>
              <w:t>Část 195: Uzemnění a ochrana před úrazem elektrickým proudem</w:t>
            </w:r>
          </w:p>
        </w:tc>
        <w:tc>
          <w:tcPr>
            <w:tcW w:w="2552" w:type="dxa"/>
          </w:tcPr>
          <w:p w14:paraId="2CA01092" w14:textId="77777777" w:rsidR="00D32EBF" w:rsidRPr="00F73CD1" w:rsidRDefault="00D32EBF" w:rsidP="00D32EBF">
            <w:pPr>
              <w:pStyle w:val="1StrCN"/>
              <w:rPr>
                <w:b w:val="0"/>
                <w:sz w:val="28"/>
              </w:rPr>
            </w:pPr>
            <w:r w:rsidRPr="00F73CD1">
              <w:t>ČSN</w:t>
            </w:r>
            <w:r w:rsidRPr="00F73CD1">
              <w:br/>
              <w:t>IEC </w:t>
            </w:r>
            <w:r w:rsidRPr="00833AD5">
              <w:t>60050</w:t>
            </w:r>
            <w:r w:rsidRPr="00F73CD1">
              <w:t>-</w:t>
            </w:r>
            <w:r>
              <w:t>195</w:t>
            </w:r>
            <w:r w:rsidRPr="00F73CD1">
              <w:br/>
            </w:r>
          </w:p>
          <w:p w14:paraId="0BC006F9" w14:textId="13A874ED" w:rsidR="00A83EAB" w:rsidRDefault="00D32EBF" w:rsidP="00D32EBF">
            <w:pPr>
              <w:pStyle w:val="1StrTrZn"/>
            </w:pPr>
            <w:r w:rsidRPr="00F73CD1">
              <w:t>33 0050</w:t>
            </w:r>
          </w:p>
        </w:tc>
      </w:tr>
    </w:tbl>
    <w:p w14:paraId="5FB8BE3D" w14:textId="77777777" w:rsidR="00A83EAB" w:rsidRDefault="00A83EAB">
      <w:pPr>
        <w:pStyle w:val="Shodnost"/>
      </w:pPr>
    </w:p>
    <w:p w14:paraId="5680295F" w14:textId="77777777" w:rsidR="00D32EBF" w:rsidRDefault="00D32EBF" w:rsidP="00D32EBF">
      <w:pPr>
        <w:pStyle w:val="Cizojazynnzev"/>
      </w:pPr>
      <w:r>
        <w:t>International Electrotechnical Vocabulary –</w:t>
      </w:r>
      <w:r>
        <w:br/>
        <w:t xml:space="preserve">Part 195: Earthing and protection against electric shock </w:t>
      </w:r>
    </w:p>
    <w:p w14:paraId="0DC01787" w14:textId="77777777" w:rsidR="00D32EBF" w:rsidRPr="00730DF7" w:rsidRDefault="00D32EBF" w:rsidP="00D32EBF">
      <w:pPr>
        <w:pStyle w:val="Cizojazynnzev"/>
        <w:spacing w:after="840"/>
        <w:rPr>
          <w:lang w:val="de-DE"/>
        </w:rPr>
      </w:pPr>
      <w:r w:rsidRPr="008F1A3C">
        <w:rPr>
          <w:lang w:val="fr-FR"/>
        </w:rPr>
        <w:t>Vocabulaire Electrotechnique International –</w:t>
      </w:r>
      <w:r w:rsidRPr="008F1A3C">
        <w:rPr>
          <w:lang w:val="fr-FR"/>
        </w:rPr>
        <w:br/>
        <w:t>Partie 195: Mise à la terre et protection contre les chocs électriques</w:t>
      </w:r>
    </w:p>
    <w:p w14:paraId="1D534CBE" w14:textId="77777777" w:rsidR="00D32EBF" w:rsidRPr="00AC0FA5" w:rsidRDefault="00D32EBF" w:rsidP="00D32EBF">
      <w:pPr>
        <w:pStyle w:val="Textnormy"/>
      </w:pPr>
      <w:r w:rsidRPr="0098442C">
        <w:t>Tato norma je českou verzí mezinárodní normy IEC 60050</w:t>
      </w:r>
      <w:r>
        <w:t>-195:2021</w:t>
      </w:r>
      <w:r w:rsidRPr="00AC0FA5">
        <w:t>. Překlad byl zajištěn</w:t>
      </w:r>
      <w:r>
        <w:t xml:space="preserve"> Českou agenturou pro standardizaci</w:t>
      </w:r>
      <w:r w:rsidRPr="00AC0FA5">
        <w:t>. Má stejný status jako oficiální verze.</w:t>
      </w:r>
    </w:p>
    <w:p w14:paraId="1FB3DF6E" w14:textId="77777777" w:rsidR="00D32EBF" w:rsidRPr="00AC0FA5" w:rsidRDefault="00D32EBF" w:rsidP="00D32EBF">
      <w:pPr>
        <w:pStyle w:val="Textnormy"/>
      </w:pPr>
      <w:r w:rsidRPr="0098442C">
        <w:rPr>
          <w:lang w:val="en-GB"/>
        </w:rPr>
        <w:t xml:space="preserve">This standard is the Czech version of the International Standard IEC </w:t>
      </w:r>
      <w:r w:rsidRPr="0098442C">
        <w:t>60050</w:t>
      </w:r>
      <w:r>
        <w:t>-195:2021</w:t>
      </w:r>
      <w:r w:rsidRPr="0098442C">
        <w:rPr>
          <w:lang w:val="en-GB"/>
        </w:rPr>
        <w:t xml:space="preserve">. It was translated by the </w:t>
      </w:r>
      <w:r w:rsidRPr="001A0A53">
        <w:t>Czech Standardization Agency</w:t>
      </w:r>
      <w:r w:rsidRPr="0098442C">
        <w:rPr>
          <w:lang w:val="en-GB"/>
        </w:rPr>
        <w:t>. It has the same status as the official version.</w:t>
      </w:r>
    </w:p>
    <w:p w14:paraId="528F4099" w14:textId="77777777" w:rsidR="00D32EBF" w:rsidRPr="00AC0FA5" w:rsidRDefault="00D32EBF" w:rsidP="00D32EBF">
      <w:pPr>
        <w:pStyle w:val="Nadpislnku"/>
      </w:pPr>
      <w:r w:rsidRPr="00AC0FA5">
        <w:t>Nahrazení předchozích norem</w:t>
      </w:r>
    </w:p>
    <w:p w14:paraId="4D670CFD" w14:textId="2163EE54" w:rsidR="00A83EAB" w:rsidRDefault="00D32EBF" w:rsidP="00D32EBF">
      <w:pPr>
        <w:pStyle w:val="Textnormy"/>
      </w:pPr>
      <w:r w:rsidRPr="00AC0FA5">
        <w:t>Touto normou se nahrazuje ČSN </w:t>
      </w:r>
      <w:r>
        <w:t xml:space="preserve">IEC </w:t>
      </w:r>
      <w:r w:rsidRPr="0098442C">
        <w:t>60050</w:t>
      </w:r>
      <w:r>
        <w:t>-195 (33 0050) z prosince 2001.</w:t>
      </w:r>
    </w:p>
    <w:p w14:paraId="56AC53C1" w14:textId="77777777" w:rsidR="00A83EAB" w:rsidRDefault="00A83EAB">
      <w:pPr>
        <w:pStyle w:val="Textnormy"/>
        <w:tabs>
          <w:tab w:val="right" w:pos="9923"/>
        </w:tabs>
      </w:pPr>
    </w:p>
    <w:p w14:paraId="2C15E7EF" w14:textId="77777777" w:rsidR="00A83EAB" w:rsidRDefault="00A83EAB">
      <w:pPr>
        <w:pStyle w:val="Textnormy"/>
        <w:tabs>
          <w:tab w:val="right" w:pos="9923"/>
        </w:tabs>
        <w:sectPr w:rsidR="00A83EAB">
          <w:headerReference w:type="even" r:id="rId7"/>
          <w:headerReference w:type="default" r:id="rId8"/>
          <w:footerReference w:type="even" r:id="rId9"/>
          <w:footerReference w:type="default" r:id="rId10"/>
          <w:headerReference w:type="first" r:id="rId11"/>
          <w:footerReference w:type="first" r:id="rId12"/>
          <w:pgSz w:w="11907" w:h="16840" w:code="9"/>
          <w:pgMar w:top="1134" w:right="964" w:bottom="1134" w:left="1021" w:header="708" w:footer="851" w:gutter="0"/>
          <w:pgNumType w:start="1"/>
          <w:cols w:space="708"/>
          <w:titlePg/>
        </w:sectPr>
      </w:pPr>
    </w:p>
    <w:p w14:paraId="72A8B2E7" w14:textId="77777777" w:rsidR="00D32EBF" w:rsidRDefault="00D32EBF" w:rsidP="00D32EBF">
      <w:pPr>
        <w:pStyle w:val="Nadpiskapitoly"/>
        <w:spacing w:before="0"/>
      </w:pPr>
      <w:r w:rsidRPr="00F73CD1">
        <w:lastRenderedPageBreak/>
        <w:t>Národní předmluva</w:t>
      </w:r>
    </w:p>
    <w:p w14:paraId="4CE43EAE" w14:textId="77777777" w:rsidR="00D32EBF" w:rsidRPr="00AC0FA5" w:rsidRDefault="00D32EBF" w:rsidP="00D32EBF">
      <w:pPr>
        <w:pStyle w:val="Nadpislnku"/>
      </w:pPr>
      <w:r w:rsidRPr="00AC0FA5">
        <w:t>Změny proti předchozí normě</w:t>
      </w:r>
    </w:p>
    <w:p w14:paraId="6B456F4D" w14:textId="77777777" w:rsidR="00D32EBF" w:rsidRDefault="00D32EBF" w:rsidP="00D32EBF">
      <w:pPr>
        <w:pStyle w:val="Textnormy"/>
      </w:pPr>
      <w:r>
        <w:t xml:space="preserve">Tato norma reviduje předchozí vydání zejména s ohledem na IEC 61140:2016. Některé nové termíny byly do normy doplněny, některé temíny, které již nejsou považovány za vhodné, byly z normy vypuštěny. </w:t>
      </w:r>
    </w:p>
    <w:p w14:paraId="61CBD1DC" w14:textId="77777777" w:rsidR="00D32EBF" w:rsidRPr="00AC0FA5" w:rsidRDefault="00D32EBF" w:rsidP="00D32EBF">
      <w:pPr>
        <w:pStyle w:val="Nadpislnku"/>
      </w:pPr>
      <w:r w:rsidRPr="00AC0FA5">
        <w:t xml:space="preserve">Souvisící ČSN </w:t>
      </w:r>
    </w:p>
    <w:p w14:paraId="633ECC8C" w14:textId="77777777" w:rsidR="00D32EBF" w:rsidRDefault="00D32EBF" w:rsidP="00D32EBF">
      <w:pPr>
        <w:pStyle w:val="Textnormy"/>
      </w:pPr>
      <w:r>
        <w:t>ČSN IEC 60050-141 (33 0050)</w:t>
      </w:r>
      <w:r>
        <w:t> </w:t>
      </w:r>
      <w:r w:rsidRPr="004D39F6">
        <w:t xml:space="preserve">Mezinárodní elektrotechnický slovník </w:t>
      </w:r>
      <w:r>
        <w:t>–</w:t>
      </w:r>
      <w:r w:rsidRPr="004D39F6">
        <w:t xml:space="preserve"> Část 141: Vícefázové soustavy a obvody</w:t>
      </w:r>
    </w:p>
    <w:p w14:paraId="7B39F8B6" w14:textId="77777777" w:rsidR="00D32EBF" w:rsidRDefault="00D32EBF" w:rsidP="00D32EBF">
      <w:pPr>
        <w:pStyle w:val="Textnormy"/>
      </w:pPr>
      <w:r>
        <w:t>ČSN IEC 60050-151 (33 0050)</w:t>
      </w:r>
      <w:r>
        <w:t> </w:t>
      </w:r>
      <w:r w:rsidRPr="004D39F6">
        <w:t xml:space="preserve">Mezinárodní elektrotechnický slovník </w:t>
      </w:r>
      <w:r>
        <w:t>–</w:t>
      </w:r>
      <w:r w:rsidRPr="004D39F6">
        <w:t xml:space="preserve"> Část 151: Elektrická a magnetická zařízení</w:t>
      </w:r>
    </w:p>
    <w:p w14:paraId="7A0766DC" w14:textId="77777777" w:rsidR="00D32EBF" w:rsidRDefault="00D32EBF" w:rsidP="00D32EBF">
      <w:pPr>
        <w:pStyle w:val="Textnormy"/>
      </w:pPr>
      <w:r>
        <w:t>ČSN IEC 60050-601 (33 0050)</w:t>
      </w:r>
      <w:r>
        <w:t> </w:t>
      </w:r>
      <w:r w:rsidRPr="004D39F6">
        <w:t xml:space="preserve">Mezinárodní elektrotechnický slovník </w:t>
      </w:r>
      <w:r>
        <w:t>–</w:t>
      </w:r>
      <w:r w:rsidRPr="004D39F6">
        <w:t xml:space="preserve"> Kapitola 601: Výroba, přenos a rozvod elektrické energie </w:t>
      </w:r>
      <w:r>
        <w:t>–</w:t>
      </w:r>
      <w:r w:rsidRPr="004D39F6">
        <w:t xml:space="preserve"> </w:t>
      </w:r>
      <w:r>
        <w:t>O</w:t>
      </w:r>
      <w:r w:rsidRPr="004D39F6">
        <w:t>becně</w:t>
      </w:r>
    </w:p>
    <w:p w14:paraId="0901F2CC" w14:textId="77777777" w:rsidR="00D32EBF" w:rsidRDefault="00D32EBF" w:rsidP="00D32EBF">
      <w:pPr>
        <w:pStyle w:val="Textnormy"/>
      </w:pPr>
      <w:r>
        <w:t>ČSN IEC 60050-826 (33 0050)</w:t>
      </w:r>
      <w:r>
        <w:t> </w:t>
      </w:r>
      <w:r w:rsidRPr="00AF113E">
        <w:t xml:space="preserve">Mezinárodní elektrotechnický slovník </w:t>
      </w:r>
      <w:r>
        <w:t>–</w:t>
      </w:r>
      <w:r w:rsidRPr="00AF113E">
        <w:t xml:space="preserve"> Část 826: Elektrické instalace</w:t>
      </w:r>
    </w:p>
    <w:p w14:paraId="2ACC2CBD" w14:textId="77777777" w:rsidR="00D32EBF" w:rsidRDefault="00D32EBF" w:rsidP="00D32EBF">
      <w:pPr>
        <w:pStyle w:val="Textnormy"/>
      </w:pPr>
      <w:r>
        <w:t>ČSN IEC 60050-903 (33 0050)</w:t>
      </w:r>
      <w:r>
        <w:t> </w:t>
      </w:r>
      <w:r w:rsidRPr="004D39F6">
        <w:t xml:space="preserve">Mezinárodní elektrotechnický slovník </w:t>
      </w:r>
      <w:r>
        <w:t>–</w:t>
      </w:r>
      <w:r w:rsidRPr="004D39F6">
        <w:t xml:space="preserve"> Část 903: Posuzování rizik</w:t>
      </w:r>
    </w:p>
    <w:p w14:paraId="75DD2413" w14:textId="77777777" w:rsidR="00D32EBF" w:rsidRDefault="00D32EBF" w:rsidP="00D32EBF">
      <w:pPr>
        <w:pStyle w:val="Textnormy"/>
      </w:pPr>
      <w:r>
        <w:t>ČSN EN 61140 ed. 3:2016 (33 0500)</w:t>
      </w:r>
      <w:r>
        <w:t> </w:t>
      </w:r>
      <w:r w:rsidRPr="004D39F6">
        <w:t xml:space="preserve">Ochrana před úrazem elektrickým proudem </w:t>
      </w:r>
      <w:r>
        <w:t>–</w:t>
      </w:r>
      <w:r w:rsidRPr="004D39F6">
        <w:t xml:space="preserve"> Společná hlediska pro instalaci a zařízení</w:t>
      </w:r>
    </w:p>
    <w:p w14:paraId="3FBDEFCD" w14:textId="77777777" w:rsidR="00D32EBF" w:rsidRDefault="00D32EBF" w:rsidP="00D32EBF">
      <w:pPr>
        <w:pStyle w:val="Nadpislnku"/>
      </w:pPr>
      <w:r>
        <w:t>Vysvětlivky k textu této normy</w:t>
      </w:r>
    </w:p>
    <w:p w14:paraId="74A571E6" w14:textId="77777777" w:rsidR="00D32EBF" w:rsidRDefault="00D32EBF" w:rsidP="00D32EBF">
      <w:pPr>
        <w:pStyle w:val="Textnormy"/>
      </w:pPr>
      <w:r w:rsidRPr="00A23A8D">
        <w:t xml:space="preserve">V případě nedatovaných odkazů na evropské/mezinárodní normy jsou ČSN </w:t>
      </w:r>
      <w:r>
        <w:t xml:space="preserve">uvedené v článku </w:t>
      </w:r>
      <w:r w:rsidRPr="00A23A8D">
        <w:t>„Souvisící ČSN“ nejnovějšími vydáními, platnými v</w:t>
      </w:r>
      <w:r>
        <w:t> </w:t>
      </w:r>
      <w:r w:rsidRPr="00A23A8D">
        <w:t>době schválení této normy. Při používání této normy je třeba vždy použít taková vydání ČSN, která přejímají nejnovější vydání nedatovaných evropských/mezinárodních norem (včetně všech změn)</w:t>
      </w:r>
      <w:r>
        <w:t>.</w:t>
      </w:r>
    </w:p>
    <w:p w14:paraId="0A0F6A03" w14:textId="77777777" w:rsidR="00D32EBF" w:rsidRDefault="00D32EBF" w:rsidP="00D32EBF">
      <w:pPr>
        <w:pStyle w:val="Textnormy"/>
      </w:pPr>
      <w:r>
        <w:t>Podtržené termíny v českých definicích upozorňují uživatele na to, že termíny jsou uvedeny v jiných terminologických zdrojích.</w:t>
      </w:r>
    </w:p>
    <w:p w14:paraId="0C62A679" w14:textId="77777777" w:rsidR="00D32EBF" w:rsidRDefault="00D32EBF" w:rsidP="00A76402">
      <w:pPr>
        <w:pStyle w:val="Nadpislnku"/>
      </w:pPr>
      <w:r w:rsidRPr="00B02AC6">
        <w:t>Upozornění na národní poznámk</w:t>
      </w:r>
      <w:r>
        <w:t>y</w:t>
      </w:r>
    </w:p>
    <w:p w14:paraId="3F9917F8" w14:textId="77777777" w:rsidR="00D32EBF" w:rsidRPr="00B02AC6" w:rsidRDefault="00D32EBF" w:rsidP="00D32EBF">
      <w:pPr>
        <w:pStyle w:val="Textnormy"/>
      </w:pPr>
      <w:r>
        <w:t>Do kapitol Předmluva a Dodržované principy a pravidla byly doplněny národní poznámky, které informují o zjednodušení textu v porovnání s přejímaným originálem.</w:t>
      </w:r>
    </w:p>
    <w:p w14:paraId="5F6F86FA" w14:textId="6F395EC8" w:rsidR="00A83EAB" w:rsidRDefault="00D32EBF" w:rsidP="00D32EBF">
      <w:pPr>
        <w:pStyle w:val="Textnormy"/>
      </w:pPr>
      <w:bookmarkStart w:id="0" w:name="_Hlk51699163"/>
      <w:r w:rsidRPr="00B02AC6">
        <w:t>Do této normy byl</w:t>
      </w:r>
      <w:r>
        <w:t>y</w:t>
      </w:r>
      <w:r w:rsidRPr="00B02AC6">
        <w:t xml:space="preserve"> k</w:t>
      </w:r>
      <w:r>
        <w:t> heslům 195-02-08, 195-03-02 a 195-06-15</w:t>
      </w:r>
      <w:r w:rsidRPr="00B02AC6">
        <w:t xml:space="preserve"> doplněn</w:t>
      </w:r>
      <w:r>
        <w:t>y</w:t>
      </w:r>
      <w:r w:rsidRPr="00B02AC6">
        <w:t xml:space="preserve"> upřesňující národní poznámk</w:t>
      </w:r>
      <w:r>
        <w:t>y</w:t>
      </w:r>
      <w:r w:rsidRPr="00B02AC6">
        <w:t>.</w:t>
      </w:r>
      <w:bookmarkEnd w:id="0"/>
    </w:p>
    <w:p w14:paraId="50F442C0" w14:textId="77777777" w:rsidR="00AA103F" w:rsidRDefault="00AA103F" w:rsidP="00AA103F">
      <w:pPr>
        <w:pStyle w:val="Nadpislnku"/>
      </w:pPr>
      <w:r w:rsidRPr="00AC0FA5">
        <w:t>Vypracování normy</w:t>
      </w:r>
    </w:p>
    <w:p w14:paraId="45B1A820" w14:textId="77777777" w:rsidR="00AA103F" w:rsidRDefault="00AA103F" w:rsidP="00AA103F">
      <w:pPr>
        <w:pStyle w:val="Textnormy"/>
      </w:pPr>
      <w:r>
        <w:t>Zpracovatel odborného překladu</w:t>
      </w:r>
      <w:r>
        <w:rPr>
          <w:bCs/>
        </w:rPr>
        <w:t>:</w:t>
      </w:r>
      <w:r>
        <w:rPr>
          <w:bCs/>
          <w:i/>
          <w:iCs/>
        </w:rPr>
        <w:t xml:space="preserve"> </w:t>
      </w:r>
      <w:r w:rsidRPr="00706EA2">
        <w:t>MEDIT Consult s. r. o., IČ</w:t>
      </w:r>
      <w:r>
        <w:t>O</w:t>
      </w:r>
      <w:r w:rsidRPr="00706EA2">
        <w:t xml:space="preserve"> 26837021</w:t>
      </w:r>
    </w:p>
    <w:p w14:paraId="48AFDE39" w14:textId="2AE4A4D5" w:rsidR="00AA103F" w:rsidRPr="00706EA2" w:rsidRDefault="00AA103F" w:rsidP="00AA103F">
      <w:pPr>
        <w:pStyle w:val="Textnormy"/>
      </w:pPr>
      <w:r w:rsidRPr="00706EA2">
        <w:t>Technická normalizační komise: TNK 2</w:t>
      </w:r>
      <w:r w:rsidR="00DA1E9C">
        <w:t>1</w:t>
      </w:r>
      <w:r w:rsidRPr="00706EA2">
        <w:t xml:space="preserve"> </w:t>
      </w:r>
      <w:r w:rsidR="00DA1E9C">
        <w:t>Terminologie v elektrotechnice, veličiny a jednotky</w:t>
      </w:r>
    </w:p>
    <w:p w14:paraId="1DECFAE3" w14:textId="315A720B" w:rsidR="00AA103F" w:rsidRPr="00DD0898" w:rsidRDefault="00AA103F" w:rsidP="00AA103F">
      <w:pPr>
        <w:pStyle w:val="Textnormy"/>
        <w:rPr>
          <w:rStyle w:val="Hypertextovodkaz"/>
          <w:rFonts w:cs="Arial"/>
          <w:color w:val="auto"/>
        </w:rPr>
      </w:pPr>
      <w:r>
        <w:rPr>
          <w:rFonts w:cs="Arial"/>
        </w:rPr>
        <w:t xml:space="preserve">Vydala: </w:t>
      </w:r>
      <w:hyperlink r:id="rId13" w:history="1">
        <w:r w:rsidR="00E66D54">
          <w:rPr>
            <w:rStyle w:val="Hypertextovodkaz"/>
          </w:rPr>
          <w:t>Česká agentura pro standardizaci, státní příspěvková organizace</w:t>
        </w:r>
      </w:hyperlink>
    </w:p>
    <w:p w14:paraId="2761A990" w14:textId="559351D6" w:rsidR="00AA103F" w:rsidRDefault="00AA103F" w:rsidP="00AA103F">
      <w:pPr>
        <w:pStyle w:val="Textnormy"/>
        <w:rPr>
          <w:b/>
          <w:bCs/>
        </w:rPr>
      </w:pPr>
      <w:r>
        <w:rPr>
          <w:rFonts w:cs="Arial"/>
          <w:b/>
          <w:bCs/>
        </w:rPr>
        <w:t xml:space="preserve">Citované dokumenty a souvisící ČSN lze získat </w:t>
      </w:r>
      <w:r w:rsidR="00E66D54">
        <w:rPr>
          <w:rFonts w:cs="Arial"/>
          <w:b/>
          <w:bCs/>
        </w:rPr>
        <w:t>v</w:t>
      </w:r>
      <w:r>
        <w:rPr>
          <w:rFonts w:cs="Arial"/>
          <w:b/>
          <w:bCs/>
        </w:rPr>
        <w:t xml:space="preserve"> </w:t>
      </w:r>
      <w:hyperlink r:id="rId14" w:history="1">
        <w:r>
          <w:rPr>
            <w:rStyle w:val="Hypertextovodkaz"/>
            <w:rFonts w:cs="Arial"/>
            <w:b/>
            <w:bCs/>
          </w:rPr>
          <w:t>e-shopu</w:t>
        </w:r>
      </w:hyperlink>
      <w:r>
        <w:rPr>
          <w:rFonts w:cs="Arial"/>
          <w:b/>
          <w:bCs/>
        </w:rPr>
        <w:t xml:space="preserve"> České agentury pro standardizaci, s. p. o.</w:t>
      </w:r>
    </w:p>
    <w:p w14:paraId="604AFA5B" w14:textId="70FB6543" w:rsidR="00AA103F" w:rsidRDefault="00AA103F" w:rsidP="00D32EBF">
      <w:pPr>
        <w:pStyle w:val="Textnormy"/>
      </w:pPr>
      <w:r>
        <w:rPr>
          <w:rFonts w:cs="Arial"/>
        </w:rPr>
        <w:t>Česká agentura pro standardizaci je státní příspěvková organizace zřízená Úřadem pro technickou normalizaci, metrologii a státní zkušebnictví na základě ustanovení § 5 odst. 2 zákona č. 22/1997 Sb., o technických požadavcích na výrobky a o změně a doplnění některých zákonů, ve znění pozdějších předpisů.</w:t>
      </w:r>
    </w:p>
    <w:p w14:paraId="61B3D643" w14:textId="77777777" w:rsidR="00D32EBF" w:rsidRPr="00F73CD1" w:rsidRDefault="00D32EBF" w:rsidP="00D32EBF">
      <w:pPr>
        <w:pStyle w:val="Nadpiskapitoly"/>
        <w:pageBreakBefore/>
        <w:spacing w:before="0"/>
      </w:pPr>
      <w:bookmarkStart w:id="1" w:name="_Toc359251362"/>
      <w:bookmarkStart w:id="2" w:name="_Toc359251520"/>
      <w:bookmarkStart w:id="3" w:name="_Toc359251680"/>
      <w:bookmarkStart w:id="4" w:name="_Toc359251937"/>
      <w:bookmarkStart w:id="5" w:name="_Toc359252126"/>
      <w:bookmarkStart w:id="6" w:name="_Toc359252241"/>
      <w:bookmarkStart w:id="7" w:name="_Toc359252484"/>
      <w:bookmarkStart w:id="8" w:name="_Toc359252724"/>
      <w:bookmarkStart w:id="9" w:name="_Toc359252845"/>
      <w:bookmarkStart w:id="10" w:name="_Toc359252919"/>
      <w:bookmarkStart w:id="11" w:name="_Toc359283645"/>
      <w:bookmarkStart w:id="12" w:name="_Toc365965545"/>
      <w:bookmarkStart w:id="13" w:name="_Toc365967312"/>
      <w:bookmarkStart w:id="14" w:name="_Toc365968759"/>
      <w:bookmarkStart w:id="15" w:name="_Toc367082924"/>
      <w:bookmarkStart w:id="16" w:name="_Toc372429539"/>
      <w:bookmarkStart w:id="17" w:name="_Toc375302773"/>
      <w:bookmarkStart w:id="18" w:name="_Toc379098930"/>
      <w:bookmarkStart w:id="19" w:name="_Toc380735103"/>
      <w:bookmarkStart w:id="20" w:name="_Toc380735203"/>
      <w:bookmarkStart w:id="21" w:name="_Toc380825387"/>
      <w:bookmarkStart w:id="22" w:name="_Toc380827276"/>
      <w:bookmarkStart w:id="23" w:name="_Toc380886222"/>
      <w:bookmarkStart w:id="24" w:name="_Toc380886260"/>
      <w:bookmarkStart w:id="25" w:name="_Toc380886467"/>
      <w:bookmarkStart w:id="26" w:name="_Toc459535865"/>
      <w:r w:rsidRPr="00F73CD1">
        <w:lastRenderedPageBreak/>
        <w:t>MEZINÁRODNÍ NORMA</w:t>
      </w:r>
    </w:p>
    <w:p w14:paraId="4B2FB031" w14:textId="77777777" w:rsidR="00D32EBF" w:rsidRDefault="00D32EBF" w:rsidP="00D32EBF">
      <w:pPr>
        <w:pStyle w:val="Nadpiskapitoly"/>
        <w:tabs>
          <w:tab w:val="left" w:pos="7655"/>
        </w:tabs>
        <w:spacing w:after="480"/>
        <w:rPr>
          <w:b w:val="0"/>
          <w:sz w:val="20"/>
        </w:rPr>
      </w:pPr>
      <w:r w:rsidRPr="00F73CD1">
        <w:t>Mezinárodní elektrotechnický slovník –</w:t>
      </w:r>
      <w:r w:rsidRPr="00F73CD1">
        <w:tab/>
        <w:t>IEC 60050-</w:t>
      </w:r>
      <w:r>
        <w:t>195</w:t>
      </w:r>
      <w:r w:rsidRPr="00F73CD1">
        <w:br/>
      </w:r>
      <w:r>
        <w:t>Část</w:t>
      </w:r>
      <w:r w:rsidRPr="002246AB">
        <w:t xml:space="preserve"> 195: Uzemnění a ochrana před</w:t>
      </w:r>
      <w:r w:rsidRPr="00F73CD1">
        <w:rPr>
          <w:sz w:val="20"/>
        </w:rPr>
        <w:tab/>
      </w:r>
      <w:r>
        <w:rPr>
          <w:b w:val="0"/>
          <w:sz w:val="20"/>
        </w:rPr>
        <w:t xml:space="preserve">Druhé </w:t>
      </w:r>
      <w:r w:rsidRPr="00BD20B4">
        <w:rPr>
          <w:b w:val="0"/>
          <w:sz w:val="20"/>
        </w:rPr>
        <w:t>vydání</w:t>
      </w:r>
      <w:r w:rsidRPr="00F73CD1">
        <w:rPr>
          <w:sz w:val="20"/>
        </w:rPr>
        <w:br/>
      </w:r>
      <w:r w:rsidRPr="002246AB">
        <w:t>úrazem elektrickým proudem</w:t>
      </w:r>
      <w:r w:rsidRPr="00F73CD1">
        <w:rPr>
          <w:sz w:val="20"/>
        </w:rPr>
        <w:tab/>
      </w:r>
      <w:r>
        <w:rPr>
          <w:b w:val="0"/>
          <w:sz w:val="20"/>
        </w:rPr>
        <w:t>2021-06</w:t>
      </w:r>
    </w:p>
    <w:p w14:paraId="7F871832" w14:textId="77777777" w:rsidR="00D32EBF" w:rsidRDefault="00D32EBF" w:rsidP="00D32EBF">
      <w:pPr>
        <w:pStyle w:val="Textnormy"/>
        <w:spacing w:after="840"/>
      </w:pPr>
      <w:r>
        <w:t>ICS 01.140.29; 13.260</w:t>
      </w:r>
    </w:p>
    <w:p w14:paraId="7CB8328B" w14:textId="77777777" w:rsidR="00D32EBF" w:rsidRPr="00F73CD1" w:rsidRDefault="00D32EBF" w:rsidP="00D32EBF">
      <w:pPr>
        <w:pStyle w:val="Nadpiskapitoly"/>
        <w:spacing w:before="0"/>
      </w:pPr>
      <w:r w:rsidRPr="0093683C">
        <w:t>Obsah</w:t>
      </w:r>
    </w:p>
    <w:p w14:paraId="4177EC6B" w14:textId="77777777" w:rsidR="00D32EBF" w:rsidRDefault="00D32EBF" w:rsidP="00D32EBF">
      <w:pPr>
        <w:pStyle w:val="Textnormy"/>
        <w:jc w:val="right"/>
        <w:rPr>
          <w:sz w:val="18"/>
          <w:szCs w:val="18"/>
        </w:rPr>
      </w:pPr>
      <w:r w:rsidRPr="00BD20B4">
        <w:rPr>
          <w:sz w:val="18"/>
          <w:szCs w:val="18"/>
        </w:rPr>
        <w:t>Strana</w:t>
      </w:r>
    </w:p>
    <w:p w14:paraId="30B58A55" w14:textId="77777777" w:rsidR="00D32EBF" w:rsidRDefault="00D32EBF" w:rsidP="00D32EBF">
      <w:pPr>
        <w:pStyle w:val="Textnormy"/>
        <w:jc w:val="right"/>
        <w:rPr>
          <w:sz w:val="18"/>
          <w:szCs w:val="18"/>
        </w:rPr>
      </w:pPr>
    </w:p>
    <w:p w14:paraId="3F88A0F7" w14:textId="77777777" w:rsidR="00D32EBF" w:rsidRDefault="00D32EBF" w:rsidP="00D32EBF">
      <w:pPr>
        <w:pStyle w:val="Obsah1"/>
        <w:rPr>
          <w:rFonts w:asciiTheme="minorHAnsi" w:eastAsiaTheme="minorEastAsia" w:hAnsiTheme="minorHAnsi" w:cstheme="minorBidi"/>
          <w:sz w:val="22"/>
          <w:szCs w:val="22"/>
        </w:rPr>
      </w:pPr>
      <w:r>
        <w:rPr>
          <w:szCs w:val="18"/>
        </w:rPr>
        <w:fldChar w:fldCharType="begin"/>
      </w:r>
      <w:r>
        <w:rPr>
          <w:szCs w:val="18"/>
        </w:rPr>
        <w:instrText xml:space="preserve"> TOC \o "1-2" \u </w:instrText>
      </w:r>
      <w:r>
        <w:rPr>
          <w:szCs w:val="18"/>
        </w:rPr>
        <w:fldChar w:fldCharType="separate"/>
      </w:r>
      <w:r>
        <w:t>Předmluva</w:t>
      </w:r>
      <w:r>
        <w:tab/>
      </w:r>
      <w:r>
        <w:fldChar w:fldCharType="begin"/>
      </w:r>
      <w:r>
        <w:instrText xml:space="preserve"> PAGEREF _Toc99963429 \h </w:instrText>
      </w:r>
      <w:r>
        <w:fldChar w:fldCharType="separate"/>
      </w:r>
      <w:r>
        <w:t>4</w:t>
      </w:r>
      <w:r>
        <w:fldChar w:fldCharType="end"/>
      </w:r>
    </w:p>
    <w:p w14:paraId="77940582" w14:textId="77777777" w:rsidR="00D32EBF" w:rsidRDefault="00D32EBF" w:rsidP="00D32EBF">
      <w:pPr>
        <w:pStyle w:val="Obsah1"/>
        <w:rPr>
          <w:rFonts w:asciiTheme="minorHAnsi" w:eastAsiaTheme="minorEastAsia" w:hAnsiTheme="minorHAnsi" w:cstheme="minorBidi"/>
          <w:sz w:val="22"/>
          <w:szCs w:val="22"/>
        </w:rPr>
      </w:pPr>
      <w:r>
        <w:t>Úvod</w:t>
      </w:r>
      <w:r>
        <w:tab/>
      </w:r>
      <w:r>
        <w:tab/>
      </w:r>
      <w:r>
        <w:fldChar w:fldCharType="begin"/>
      </w:r>
      <w:r>
        <w:instrText xml:space="preserve"> PAGEREF _Toc99963430 \h </w:instrText>
      </w:r>
      <w:r>
        <w:fldChar w:fldCharType="separate"/>
      </w:r>
      <w:r>
        <w:t>5</w:t>
      </w:r>
      <w:r>
        <w:fldChar w:fldCharType="end"/>
      </w:r>
    </w:p>
    <w:p w14:paraId="04A44E02" w14:textId="77777777" w:rsidR="00D32EBF" w:rsidRDefault="00D32EBF" w:rsidP="00D32EBF">
      <w:pPr>
        <w:pStyle w:val="Obsah1"/>
        <w:rPr>
          <w:rFonts w:asciiTheme="minorHAnsi" w:eastAsiaTheme="minorEastAsia" w:hAnsiTheme="minorHAnsi" w:cstheme="minorBidi"/>
          <w:sz w:val="22"/>
          <w:szCs w:val="22"/>
        </w:rPr>
      </w:pPr>
      <w:r>
        <w:t>Dodržované principy a pravidla</w:t>
      </w:r>
      <w:r>
        <w:tab/>
      </w:r>
      <w:r>
        <w:fldChar w:fldCharType="begin"/>
      </w:r>
      <w:r>
        <w:instrText xml:space="preserve"> PAGEREF _Toc99963431 \h </w:instrText>
      </w:r>
      <w:r>
        <w:fldChar w:fldCharType="separate"/>
      </w:r>
      <w:r>
        <w:t>5</w:t>
      </w:r>
      <w:r>
        <w:fldChar w:fldCharType="end"/>
      </w:r>
    </w:p>
    <w:p w14:paraId="2E5146EB" w14:textId="77777777" w:rsidR="00D32EBF" w:rsidRDefault="00D32EBF" w:rsidP="00D32EBF">
      <w:pPr>
        <w:pStyle w:val="Obsah1"/>
        <w:rPr>
          <w:rFonts w:asciiTheme="minorHAnsi" w:eastAsiaTheme="minorEastAsia" w:hAnsiTheme="minorHAnsi" w:cstheme="minorBidi"/>
          <w:sz w:val="22"/>
          <w:szCs w:val="22"/>
        </w:rPr>
      </w:pPr>
      <w:r w:rsidRPr="00FA4FD7">
        <w:rPr>
          <w:b/>
          <w:bCs/>
        </w:rPr>
        <w:t>1</w:t>
      </w:r>
      <w:r>
        <w:tab/>
        <w:t>Rozsah platnosti</w:t>
      </w:r>
      <w:r>
        <w:tab/>
      </w:r>
      <w:r>
        <w:fldChar w:fldCharType="begin"/>
      </w:r>
      <w:r>
        <w:instrText xml:space="preserve"> PAGEREF _Toc99963432 \h </w:instrText>
      </w:r>
      <w:r>
        <w:fldChar w:fldCharType="separate"/>
      </w:r>
      <w:r>
        <w:t>7</w:t>
      </w:r>
      <w:r>
        <w:fldChar w:fldCharType="end"/>
      </w:r>
    </w:p>
    <w:p w14:paraId="7F1A74F1" w14:textId="77777777" w:rsidR="00D32EBF" w:rsidRDefault="00D32EBF" w:rsidP="00D32EBF">
      <w:pPr>
        <w:pStyle w:val="Obsah1"/>
        <w:rPr>
          <w:rFonts w:asciiTheme="minorHAnsi" w:eastAsiaTheme="minorEastAsia" w:hAnsiTheme="minorHAnsi" w:cstheme="minorBidi"/>
          <w:sz w:val="22"/>
          <w:szCs w:val="22"/>
        </w:rPr>
      </w:pPr>
      <w:r w:rsidRPr="00FA4FD7">
        <w:rPr>
          <w:b/>
          <w:bCs/>
        </w:rPr>
        <w:t>2</w:t>
      </w:r>
      <w:r>
        <w:tab/>
        <w:t>Citované dokumenty</w:t>
      </w:r>
      <w:r>
        <w:tab/>
      </w:r>
      <w:r>
        <w:fldChar w:fldCharType="begin"/>
      </w:r>
      <w:r>
        <w:instrText xml:space="preserve"> PAGEREF _Toc99963433 \h </w:instrText>
      </w:r>
      <w:r>
        <w:fldChar w:fldCharType="separate"/>
      </w:r>
      <w:r>
        <w:t>7</w:t>
      </w:r>
      <w:r>
        <w:fldChar w:fldCharType="end"/>
      </w:r>
    </w:p>
    <w:p w14:paraId="35053E02" w14:textId="77777777" w:rsidR="00D32EBF" w:rsidRDefault="00D32EBF" w:rsidP="00D32EBF">
      <w:pPr>
        <w:pStyle w:val="Obsah1"/>
        <w:rPr>
          <w:rFonts w:asciiTheme="minorHAnsi" w:eastAsiaTheme="minorEastAsia" w:hAnsiTheme="minorHAnsi" w:cstheme="minorBidi"/>
          <w:sz w:val="22"/>
          <w:szCs w:val="22"/>
        </w:rPr>
      </w:pPr>
      <w:r w:rsidRPr="00FA4FD7">
        <w:rPr>
          <w:b/>
          <w:bCs/>
        </w:rPr>
        <w:t>3</w:t>
      </w:r>
      <w:r>
        <w:tab/>
        <w:t>Termíny a definice</w:t>
      </w:r>
      <w:r>
        <w:tab/>
      </w:r>
      <w:r>
        <w:fldChar w:fldCharType="begin"/>
      </w:r>
      <w:r>
        <w:instrText xml:space="preserve"> PAGEREF _Toc99963434 \h </w:instrText>
      </w:r>
      <w:r>
        <w:fldChar w:fldCharType="separate"/>
      </w:r>
      <w:r>
        <w:t>7</w:t>
      </w:r>
      <w:r>
        <w:fldChar w:fldCharType="end"/>
      </w:r>
    </w:p>
    <w:p w14:paraId="2528A154" w14:textId="77777777" w:rsidR="00D32EBF" w:rsidRDefault="00D32EBF" w:rsidP="00D32EBF">
      <w:pPr>
        <w:pStyle w:val="Obsah1"/>
        <w:rPr>
          <w:rFonts w:asciiTheme="minorHAnsi" w:eastAsiaTheme="minorEastAsia" w:hAnsiTheme="minorHAnsi" w:cstheme="minorBidi"/>
          <w:sz w:val="22"/>
          <w:szCs w:val="22"/>
        </w:rPr>
      </w:pPr>
      <w:r>
        <w:t>Oddíl 195-01 – Základní termíny</w:t>
      </w:r>
      <w:r>
        <w:tab/>
      </w:r>
      <w:r>
        <w:fldChar w:fldCharType="begin"/>
      </w:r>
      <w:r>
        <w:instrText xml:space="preserve"> PAGEREF _Toc99963435 \h </w:instrText>
      </w:r>
      <w:r>
        <w:fldChar w:fldCharType="separate"/>
      </w:r>
      <w:r>
        <w:t>8</w:t>
      </w:r>
      <w:r>
        <w:fldChar w:fldCharType="end"/>
      </w:r>
    </w:p>
    <w:p w14:paraId="22C1DBC0" w14:textId="77777777" w:rsidR="00D32EBF" w:rsidRDefault="00D32EBF" w:rsidP="00D32EBF">
      <w:pPr>
        <w:pStyle w:val="Obsah1"/>
        <w:rPr>
          <w:rFonts w:asciiTheme="minorHAnsi" w:eastAsiaTheme="minorEastAsia" w:hAnsiTheme="minorHAnsi" w:cstheme="minorBidi"/>
          <w:sz w:val="22"/>
          <w:szCs w:val="22"/>
        </w:rPr>
      </w:pPr>
      <w:r>
        <w:t>Oddíl 195-02 – Elektrické instalace a zařízení</w:t>
      </w:r>
      <w:r>
        <w:tab/>
      </w:r>
      <w:r>
        <w:fldChar w:fldCharType="begin"/>
      </w:r>
      <w:r>
        <w:instrText xml:space="preserve"> PAGEREF _Toc99963436 \h </w:instrText>
      </w:r>
      <w:r>
        <w:fldChar w:fldCharType="separate"/>
      </w:r>
      <w:r>
        <w:t>17</w:t>
      </w:r>
      <w:r>
        <w:fldChar w:fldCharType="end"/>
      </w:r>
    </w:p>
    <w:p w14:paraId="02180C20" w14:textId="77777777" w:rsidR="00D32EBF" w:rsidRDefault="00D32EBF" w:rsidP="00D32EBF">
      <w:pPr>
        <w:pStyle w:val="Obsah1"/>
        <w:rPr>
          <w:rFonts w:asciiTheme="minorHAnsi" w:eastAsiaTheme="minorEastAsia" w:hAnsiTheme="minorHAnsi" w:cstheme="minorBidi"/>
          <w:sz w:val="22"/>
          <w:szCs w:val="22"/>
        </w:rPr>
      </w:pPr>
      <w:r>
        <w:t>Oddíl 195-03 – Úraz elektrickým proudem a prahové proudy</w:t>
      </w:r>
      <w:r>
        <w:tab/>
      </w:r>
      <w:r>
        <w:fldChar w:fldCharType="begin"/>
      </w:r>
      <w:r>
        <w:instrText xml:space="preserve"> PAGEREF _Toc99963437 \h </w:instrText>
      </w:r>
      <w:r>
        <w:fldChar w:fldCharType="separate"/>
      </w:r>
      <w:r>
        <w:t>35</w:t>
      </w:r>
      <w:r>
        <w:fldChar w:fldCharType="end"/>
      </w:r>
    </w:p>
    <w:p w14:paraId="6F95E404" w14:textId="77777777" w:rsidR="00D32EBF" w:rsidRDefault="00D32EBF" w:rsidP="00D32EBF">
      <w:pPr>
        <w:pStyle w:val="Obsah1"/>
        <w:rPr>
          <w:rFonts w:asciiTheme="minorHAnsi" w:eastAsiaTheme="minorEastAsia" w:hAnsiTheme="minorHAnsi" w:cstheme="minorBidi"/>
          <w:sz w:val="22"/>
          <w:szCs w:val="22"/>
        </w:rPr>
      </w:pPr>
      <w:r>
        <w:t>Oddíl 195-04 – Provoz</w:t>
      </w:r>
      <w:r>
        <w:tab/>
      </w:r>
      <w:r>
        <w:fldChar w:fldCharType="begin"/>
      </w:r>
      <w:r>
        <w:instrText xml:space="preserve"> PAGEREF _Toc99963438 \h </w:instrText>
      </w:r>
      <w:r>
        <w:fldChar w:fldCharType="separate"/>
      </w:r>
      <w:r>
        <w:t>40</w:t>
      </w:r>
      <w:r>
        <w:fldChar w:fldCharType="end"/>
      </w:r>
    </w:p>
    <w:p w14:paraId="645956BA" w14:textId="77777777" w:rsidR="00D32EBF" w:rsidRDefault="00D32EBF" w:rsidP="00D32EBF">
      <w:pPr>
        <w:pStyle w:val="Obsah1"/>
        <w:rPr>
          <w:rFonts w:asciiTheme="minorHAnsi" w:eastAsiaTheme="minorEastAsia" w:hAnsiTheme="minorHAnsi" w:cstheme="minorBidi"/>
          <w:sz w:val="22"/>
          <w:szCs w:val="22"/>
        </w:rPr>
      </w:pPr>
      <w:r>
        <w:t>Oddíl 195-05 – Napětí a proudy</w:t>
      </w:r>
      <w:r>
        <w:tab/>
      </w:r>
      <w:r>
        <w:fldChar w:fldCharType="begin"/>
      </w:r>
      <w:r>
        <w:instrText xml:space="preserve"> PAGEREF _Toc99963439 \h </w:instrText>
      </w:r>
      <w:r>
        <w:fldChar w:fldCharType="separate"/>
      </w:r>
      <w:r>
        <w:t>47</w:t>
      </w:r>
      <w:r>
        <w:fldChar w:fldCharType="end"/>
      </w:r>
    </w:p>
    <w:p w14:paraId="52611647" w14:textId="77777777" w:rsidR="00D32EBF" w:rsidRDefault="00D32EBF" w:rsidP="00D32EBF">
      <w:pPr>
        <w:pStyle w:val="Obsah1"/>
        <w:rPr>
          <w:rFonts w:asciiTheme="minorHAnsi" w:eastAsiaTheme="minorEastAsia" w:hAnsiTheme="minorHAnsi" w:cstheme="minorBidi"/>
          <w:sz w:val="22"/>
          <w:szCs w:val="22"/>
        </w:rPr>
      </w:pPr>
      <w:r>
        <w:t>Oddíl 195-06 – Ochranná opatření pro zajištění bezpečnosti před úrazem elektrickým proudem</w:t>
      </w:r>
      <w:r>
        <w:tab/>
      </w:r>
      <w:r>
        <w:fldChar w:fldCharType="begin"/>
      </w:r>
      <w:r>
        <w:instrText xml:space="preserve"> PAGEREF _Toc99963440 \h </w:instrText>
      </w:r>
      <w:r>
        <w:fldChar w:fldCharType="separate"/>
      </w:r>
      <w:r>
        <w:t>58</w:t>
      </w:r>
      <w:r>
        <w:fldChar w:fldCharType="end"/>
      </w:r>
    </w:p>
    <w:p w14:paraId="71A09388" w14:textId="77777777" w:rsidR="00D32EBF" w:rsidRDefault="00D32EBF" w:rsidP="00D32EBF">
      <w:pPr>
        <w:pStyle w:val="Obsah1"/>
        <w:rPr>
          <w:rFonts w:asciiTheme="minorHAnsi" w:eastAsiaTheme="minorEastAsia" w:hAnsiTheme="minorHAnsi" w:cstheme="minorBidi"/>
          <w:sz w:val="22"/>
          <w:szCs w:val="22"/>
        </w:rPr>
      </w:pPr>
      <w:r w:rsidRPr="00370608">
        <w:rPr>
          <w:rFonts w:cs="Arial"/>
          <w:color w:val="000000"/>
          <w:szCs w:val="18"/>
        </w:rPr>
        <w:t>Abecední rejstříky</w:t>
      </w:r>
      <w:r>
        <w:tab/>
      </w:r>
      <w:r>
        <w:fldChar w:fldCharType="begin"/>
      </w:r>
      <w:r>
        <w:instrText xml:space="preserve"> PAGEREF _Toc99963441 \h </w:instrText>
      </w:r>
      <w:r>
        <w:fldChar w:fldCharType="separate"/>
      </w:r>
      <w:r>
        <w:t>74</w:t>
      </w:r>
      <w:r>
        <w:fldChar w:fldCharType="end"/>
      </w:r>
    </w:p>
    <w:p w14:paraId="59B82C44" w14:textId="0E439423" w:rsidR="00D32EBF" w:rsidRDefault="00D32EBF" w:rsidP="00A76402">
      <w:pPr>
        <w:pStyle w:val="Textnormy"/>
        <w:jc w:val="left"/>
        <w:rPr>
          <w:sz w:val="18"/>
          <w:szCs w:val="18"/>
        </w:rPr>
      </w:pPr>
      <w:r>
        <w:rPr>
          <w:sz w:val="18"/>
          <w:szCs w:val="18"/>
        </w:rPr>
        <w:fldChar w:fldCharType="end"/>
      </w:r>
    </w:p>
    <w:tbl>
      <w:tblPr>
        <w:tblW w:w="0" w:type="auto"/>
        <w:tblInd w:w="-38" w:type="dxa"/>
        <w:tblLayout w:type="fixed"/>
        <w:tblCellMar>
          <w:left w:w="0" w:type="dxa"/>
          <w:right w:w="0" w:type="dxa"/>
        </w:tblCellMar>
        <w:tblLook w:val="01E0" w:firstRow="1" w:lastRow="1" w:firstColumn="1" w:lastColumn="1" w:noHBand="0" w:noVBand="0"/>
      </w:tblPr>
      <w:tblGrid>
        <w:gridCol w:w="1101"/>
        <w:gridCol w:w="8789"/>
      </w:tblGrid>
      <w:tr w:rsidR="00D32EBF" w:rsidRPr="00AC0FA5" w14:paraId="4E8F1157" w14:textId="77777777" w:rsidTr="00A92AAA">
        <w:tc>
          <w:tcPr>
            <w:tcW w:w="1101" w:type="dxa"/>
          </w:tcPr>
          <w:p w14:paraId="09870652" w14:textId="77777777" w:rsidR="00D32EBF" w:rsidRPr="00AC0FA5" w:rsidRDefault="00D32EBF" w:rsidP="00A92AAA">
            <w:pPr>
              <w:pStyle w:val="Textnormy"/>
              <w:framePr w:h="3110" w:hRule="exact" w:hSpace="142" w:wrap="around" w:vAnchor="page" w:hAnchor="page" w:x="1022" w:y="12410"/>
              <w:rPr>
                <w:b/>
              </w:rPr>
            </w:pPr>
            <w:r w:rsidRPr="006A0AE9">
              <w:rPr>
                <w:noProof/>
              </w:rPr>
              <w:drawing>
                <wp:inline distT="0" distB="0" distL="0" distR="0" wp14:anchorId="6007DE49" wp14:editId="28E7935A">
                  <wp:extent cx="495935" cy="437515"/>
                  <wp:effectExtent l="0" t="0" r="0" b="635"/>
                  <wp:docPr id="5" name="Obrázek 5" descr="Logo0052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2" descr="Logo0052b"/>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95935" cy="437515"/>
                          </a:xfrm>
                          <a:prstGeom prst="rect">
                            <a:avLst/>
                          </a:prstGeom>
                          <a:noFill/>
                          <a:ln>
                            <a:noFill/>
                          </a:ln>
                        </pic:spPr>
                      </pic:pic>
                    </a:graphicData>
                  </a:graphic>
                </wp:inline>
              </w:drawing>
            </w:r>
          </w:p>
        </w:tc>
        <w:tc>
          <w:tcPr>
            <w:tcW w:w="8789" w:type="dxa"/>
          </w:tcPr>
          <w:p w14:paraId="1C0A348F" w14:textId="77777777" w:rsidR="00D32EBF" w:rsidRPr="00AC0FA5" w:rsidRDefault="00D32EBF" w:rsidP="00A92AAA">
            <w:pPr>
              <w:pStyle w:val="Textnormy"/>
              <w:framePr w:h="3110" w:hRule="exact" w:wrap="auto" w:vAnchor="page" w:hAnchor="page" w:y="12410"/>
              <w:spacing w:before="480" w:after="200"/>
              <w:rPr>
                <w:b/>
              </w:rPr>
            </w:pPr>
            <w:r w:rsidRPr="00AC0FA5">
              <w:rPr>
                <w:b/>
              </w:rPr>
              <w:t>DOKUMENT CHRÁNĚNÝ COPYRIGHTEM</w:t>
            </w:r>
          </w:p>
        </w:tc>
      </w:tr>
    </w:tbl>
    <w:p w14:paraId="619903B4" w14:textId="77777777" w:rsidR="00D32EBF" w:rsidRPr="00AC0FA5" w:rsidRDefault="00D32EBF" w:rsidP="00D32EBF">
      <w:pPr>
        <w:pStyle w:val="Textnormy"/>
        <w:framePr w:h="3110" w:hRule="exact" w:hSpace="142" w:wrap="around" w:vAnchor="page" w:hAnchor="page" w:x="1022" w:y="12410"/>
        <w:spacing w:after="60"/>
        <w:rPr>
          <w:sz w:val="16"/>
        </w:rPr>
      </w:pPr>
      <w:r w:rsidRPr="00AC0FA5">
        <w:rPr>
          <w:sz w:val="16"/>
        </w:rPr>
        <w:t>© I</w:t>
      </w:r>
      <w:r>
        <w:rPr>
          <w:sz w:val="16"/>
        </w:rPr>
        <w:t>EC</w:t>
      </w:r>
      <w:r w:rsidRPr="00AC0FA5">
        <w:rPr>
          <w:sz w:val="16"/>
        </w:rPr>
        <w:t xml:space="preserve"> 20</w:t>
      </w:r>
      <w:r>
        <w:rPr>
          <w:sz w:val="16"/>
        </w:rPr>
        <w:t>21,</w:t>
      </w:r>
      <w:r w:rsidRPr="00C755D0">
        <w:rPr>
          <w:sz w:val="16"/>
          <w:szCs w:val="16"/>
        </w:rPr>
        <w:t xml:space="preserve"> </w:t>
      </w:r>
      <w:r w:rsidRPr="00574075">
        <w:rPr>
          <w:sz w:val="16"/>
          <w:szCs w:val="16"/>
        </w:rPr>
        <w:t>Ženeva, Švýcarsko</w:t>
      </w:r>
    </w:p>
    <w:p w14:paraId="46300D12" w14:textId="77777777" w:rsidR="00D32EBF" w:rsidRPr="00AC0FA5" w:rsidRDefault="00D32EBF" w:rsidP="00D32EBF">
      <w:pPr>
        <w:pStyle w:val="Textnormy"/>
        <w:framePr w:h="3110" w:hRule="exact" w:hSpace="142" w:wrap="around" w:vAnchor="page" w:hAnchor="page" w:x="1022" w:y="12410"/>
        <w:spacing w:after="60"/>
        <w:rPr>
          <w:sz w:val="16"/>
          <w:szCs w:val="16"/>
        </w:rPr>
      </w:pPr>
      <w:r w:rsidRPr="00574075">
        <w:rPr>
          <w:sz w:val="16"/>
          <w:szCs w:val="16"/>
        </w:rPr>
        <w:t>Veškerá práva vyhrazena. Není-li specifikováno jinak, nesmí být žádná část této publikace reprodukována nebo používána v jakékoliv formě nebo jakýmkoliv způsobem, elektronickým ani mechanickým, včetně pořizování fotokopií a mikrofilmů bez předchozího písemného svolení IEC nebo národního komitétu člena IEC v zemi žadatele. Máte-li jakékoliv dotazy týkající se copyrightu IEC nebo požadavky na</w:t>
      </w:r>
      <w:r>
        <w:rPr>
          <w:sz w:val="16"/>
          <w:szCs w:val="16"/>
        </w:rPr>
        <w:t xml:space="preserve"> </w:t>
      </w:r>
      <w:r w:rsidRPr="00574075">
        <w:rPr>
          <w:sz w:val="16"/>
          <w:szCs w:val="16"/>
        </w:rPr>
        <w:t>získání dalších práv k této publikaci, kontaktujte prosím IEC na níže uvedené adrese nebo národní komitét IEC ve vaší zemi.</w:t>
      </w:r>
    </w:p>
    <w:p w14:paraId="3C724EF8" w14:textId="77777777" w:rsidR="00D32EBF" w:rsidRPr="00AC0FA5" w:rsidRDefault="00D32EBF" w:rsidP="00D32EBF">
      <w:pPr>
        <w:pStyle w:val="Textnormy"/>
        <w:framePr w:h="3110" w:hRule="exact" w:hSpace="142" w:wrap="around" w:vAnchor="page" w:hAnchor="page" w:x="1022" w:y="12410"/>
        <w:spacing w:after="0"/>
        <w:ind w:left="284"/>
        <w:rPr>
          <w:sz w:val="16"/>
        </w:rPr>
      </w:pPr>
      <w:r w:rsidRPr="00574075">
        <w:rPr>
          <w:sz w:val="16"/>
          <w:szCs w:val="16"/>
        </w:rPr>
        <w:t>IEC Central Office</w:t>
      </w:r>
    </w:p>
    <w:p w14:paraId="084C5B5C" w14:textId="77777777" w:rsidR="00D32EBF" w:rsidRDefault="00D32EBF" w:rsidP="00D32EBF">
      <w:pPr>
        <w:pStyle w:val="Textnormy"/>
        <w:framePr w:h="3110" w:hRule="exact" w:hSpace="142" w:wrap="around" w:vAnchor="page" w:hAnchor="page" w:x="1022" w:y="12410"/>
        <w:spacing w:after="0"/>
        <w:ind w:left="284"/>
        <w:rPr>
          <w:sz w:val="16"/>
        </w:rPr>
      </w:pPr>
      <w:r w:rsidRPr="00574075">
        <w:rPr>
          <w:sz w:val="16"/>
          <w:szCs w:val="16"/>
        </w:rPr>
        <w:t>3,</w:t>
      </w:r>
      <w:r>
        <w:rPr>
          <w:sz w:val="16"/>
          <w:szCs w:val="16"/>
        </w:rPr>
        <w:t xml:space="preserve"> </w:t>
      </w:r>
      <w:r w:rsidRPr="00574075">
        <w:rPr>
          <w:sz w:val="16"/>
          <w:szCs w:val="16"/>
        </w:rPr>
        <w:t xml:space="preserve">rue de Varembé </w:t>
      </w:r>
      <w:r w:rsidRPr="00574075">
        <w:rPr>
          <w:sz w:val="16"/>
          <w:szCs w:val="16"/>
        </w:rPr>
        <w:sym w:font="Symbol" w:char="F0B7"/>
      </w:r>
      <w:r w:rsidRPr="00574075">
        <w:rPr>
          <w:sz w:val="16"/>
          <w:szCs w:val="16"/>
        </w:rPr>
        <w:t> CH-1211 Geneva 20, Switzerland</w:t>
      </w:r>
    </w:p>
    <w:p w14:paraId="74599509" w14:textId="77777777" w:rsidR="00D32EBF" w:rsidRPr="00AC0FA5" w:rsidRDefault="00D32EBF" w:rsidP="00D32EBF">
      <w:pPr>
        <w:pStyle w:val="Textnormy"/>
        <w:framePr w:h="3110" w:hRule="exact" w:hSpace="142" w:wrap="around" w:vAnchor="page" w:hAnchor="page" w:x="1022" w:y="12410"/>
        <w:spacing w:after="0"/>
        <w:ind w:left="284"/>
        <w:rPr>
          <w:sz w:val="16"/>
        </w:rPr>
      </w:pPr>
      <w:r w:rsidRPr="00574075">
        <w:rPr>
          <w:sz w:val="16"/>
          <w:szCs w:val="16"/>
        </w:rPr>
        <w:t>Tel. + 41 22 919 02 11</w:t>
      </w:r>
    </w:p>
    <w:p w14:paraId="2BB77873" w14:textId="77777777" w:rsidR="00D32EBF" w:rsidRPr="009F4BA4" w:rsidRDefault="00D32EBF" w:rsidP="00D32EBF">
      <w:pPr>
        <w:pStyle w:val="Textnormy"/>
        <w:framePr w:h="3110" w:hRule="exact" w:hSpace="142" w:wrap="around" w:vAnchor="page" w:hAnchor="page" w:x="1022" w:y="12410"/>
        <w:spacing w:after="0"/>
        <w:ind w:left="284"/>
        <w:rPr>
          <w:sz w:val="16"/>
          <w:szCs w:val="16"/>
        </w:rPr>
      </w:pPr>
      <w:hyperlink r:id="rId16" w:history="1">
        <w:r w:rsidRPr="009F4BA4">
          <w:rPr>
            <w:sz w:val="16"/>
            <w:szCs w:val="16"/>
          </w:rPr>
          <w:t>info@iec.ch</w:t>
        </w:r>
      </w:hyperlink>
      <w:r w:rsidRPr="009F4BA4">
        <w:rPr>
          <w:sz w:val="16"/>
          <w:szCs w:val="16"/>
        </w:rPr>
        <w:t xml:space="preserve"> </w:t>
      </w:r>
    </w:p>
    <w:p w14:paraId="3894A91F" w14:textId="77777777" w:rsidR="00D32EBF" w:rsidRPr="009F4BA4" w:rsidRDefault="00D32EBF" w:rsidP="00D32EBF">
      <w:pPr>
        <w:pStyle w:val="Textnormy"/>
        <w:framePr w:h="3110" w:hRule="exact" w:hSpace="142" w:wrap="around" w:vAnchor="page" w:hAnchor="page" w:x="1022" w:y="12410"/>
        <w:spacing w:after="0"/>
        <w:ind w:left="284"/>
        <w:rPr>
          <w:sz w:val="16"/>
          <w:szCs w:val="16"/>
        </w:rPr>
      </w:pPr>
      <w:hyperlink r:id="rId17" w:history="1">
        <w:r w:rsidRPr="009F4BA4">
          <w:rPr>
            <w:sz w:val="16"/>
            <w:szCs w:val="16"/>
          </w:rPr>
          <w:t>www.iec.ch</w:t>
        </w:r>
      </w:hyperlink>
      <w:r w:rsidRPr="009F4BA4">
        <w:rPr>
          <w:sz w:val="16"/>
          <w:szCs w:val="16"/>
        </w:rPr>
        <w:t xml:space="preserve"> </w:t>
      </w:r>
    </w:p>
    <w:p w14:paraId="4D1FB27D" w14:textId="77777777" w:rsidR="00D32EBF" w:rsidRPr="00F73CD1" w:rsidRDefault="00D32EBF" w:rsidP="00D32EBF">
      <w:pPr>
        <w:pStyle w:val="Nadpis1"/>
        <w:pageBreakBefore/>
        <w:spacing w:before="0"/>
      </w:pPr>
      <w:bookmarkStart w:id="27" w:name="_Toc4487158"/>
      <w:bookmarkStart w:id="28" w:name="_Toc4487250"/>
      <w:bookmarkStart w:id="29" w:name="_Toc88329524"/>
      <w:bookmarkStart w:id="30" w:name="_Toc99963429"/>
      <w:r w:rsidRPr="00F73CD1">
        <w:lastRenderedPageBreak/>
        <w:t>P</w:t>
      </w:r>
      <w:r>
        <w:t>ředmluva</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540F4385" w14:textId="77777777" w:rsidR="00D32EBF" w:rsidRPr="00D93363" w:rsidRDefault="00D32EBF" w:rsidP="00D32EBF">
      <w:pPr>
        <w:pStyle w:val="slovanseznamvnorm"/>
        <w:rPr>
          <w:snapToGrid w:val="0"/>
          <w:sz w:val="18"/>
          <w:szCs w:val="18"/>
        </w:rPr>
      </w:pPr>
      <w:r w:rsidRPr="00D93363">
        <w:rPr>
          <w:sz w:val="18"/>
          <w:szCs w:val="18"/>
        </w:rPr>
        <w:t xml:space="preserve">IEC (Mezinárodní elektrotechnická komise) je celosvětová normalizační organizace zahrnující všechny národní elektrotechnické komitéty (národní komitéty IEC). Cílem IEC je podporovat mezinárodní spoluprácí ve všech otázkách, které se týkají normalizace v oblasti elektrotechniky a elektroniky. Za tím účelem, kromě jiných činností, IEC vydává mezinárodní </w:t>
      </w:r>
      <w:r w:rsidRPr="00D93363">
        <w:rPr>
          <w:snapToGrid w:val="0"/>
          <w:sz w:val="18"/>
          <w:szCs w:val="18"/>
        </w:rPr>
        <w:t xml:space="preserve">normy, technické specifikace, technické zprávy, veřejně dostupné specifikace (PAS) a pokyny (dále „publikace IEC“). </w:t>
      </w:r>
      <w:r>
        <w:rPr>
          <w:snapToGrid w:val="0"/>
          <w:sz w:val="18"/>
          <w:szCs w:val="18"/>
        </w:rPr>
        <w:tab/>
      </w:r>
      <w:r>
        <w:rPr>
          <w:snapToGrid w:val="0"/>
          <w:sz w:val="18"/>
          <w:szCs w:val="18"/>
        </w:rPr>
        <w:br/>
      </w:r>
      <w:r w:rsidRPr="00D93363">
        <w:rPr>
          <w:snapToGrid w:val="0"/>
          <w:sz w:val="18"/>
          <w:szCs w:val="18"/>
        </w:rPr>
        <w:t>Jejich vypracování je svěřeno technickým komisím; každý národní komitét IEC, který se zajímá o projednávaný předmět, se může těchto prací zúčastnit. Mezinárodní vládní i nevládní organizace, s nimiž IEC navázala pracovní styk, se těchto prací rovněž zúčastňují. IEC úzce spolupracuje s Mezinárodní organizací pro normalizaci (ISO) v souladu s podmínkami dohodnutými mezi těmito dvěma organizacemi.</w:t>
      </w:r>
    </w:p>
    <w:p w14:paraId="689E248C" w14:textId="77777777" w:rsidR="00D32EBF" w:rsidRPr="00D93363" w:rsidRDefault="00D32EBF" w:rsidP="00D32EBF">
      <w:pPr>
        <w:pStyle w:val="slovanseznamvnorm"/>
        <w:rPr>
          <w:snapToGrid w:val="0"/>
          <w:sz w:val="18"/>
          <w:szCs w:val="18"/>
        </w:rPr>
      </w:pPr>
      <w:r w:rsidRPr="00D93363">
        <w:rPr>
          <w:snapToGrid w:val="0"/>
          <w:sz w:val="18"/>
          <w:szCs w:val="18"/>
        </w:rPr>
        <w:t>Oficiální rozhodnutí nebo dohody IEC týkající se technických otázek vyjadřují v největší možné míře mezinárodní shodu v názoru na předmět, kterého se týkají, protože v každé technické komisi jsou zastoupeny všechny zainteresované národní komitéty.</w:t>
      </w:r>
    </w:p>
    <w:p w14:paraId="15ED09E5" w14:textId="77777777" w:rsidR="00D32EBF" w:rsidRPr="00D93363" w:rsidRDefault="00D32EBF" w:rsidP="00D32EBF">
      <w:pPr>
        <w:pStyle w:val="slovanseznamvnorm"/>
        <w:rPr>
          <w:snapToGrid w:val="0"/>
          <w:sz w:val="18"/>
          <w:szCs w:val="18"/>
        </w:rPr>
      </w:pPr>
      <w:r w:rsidRPr="00D93363">
        <w:rPr>
          <w:snapToGrid w:val="0"/>
          <w:sz w:val="18"/>
          <w:szCs w:val="18"/>
        </w:rPr>
        <w:t>Publikace IEC mají formu doporučení pro mezinárodní používání a v tomto smyslu jsou přijímány národními komitéty IEC. Přestože je věnováno velké úsilí tomu, aby byl obsah publikací IEC přesný, IEC nemůže nést odpovědnost za způsob, jakým jsou používány, nebo za jakoukoliv chybnou interpretaci uživatelem.</w:t>
      </w:r>
    </w:p>
    <w:p w14:paraId="41A15368" w14:textId="77777777" w:rsidR="00D32EBF" w:rsidRPr="00D93363" w:rsidRDefault="00D32EBF" w:rsidP="00D32EBF">
      <w:pPr>
        <w:pStyle w:val="slovanseznamvnorm"/>
        <w:rPr>
          <w:sz w:val="18"/>
          <w:szCs w:val="18"/>
        </w:rPr>
      </w:pPr>
      <w:r w:rsidRPr="00D93363">
        <w:rPr>
          <w:snapToGrid w:val="0"/>
          <w:sz w:val="18"/>
          <w:szCs w:val="18"/>
        </w:rPr>
        <w:t>Na podporu mezinárodního sjednocení národní komitéty IEC transparentně přejímají publikace IEC v maximální možné míře do svých národních a regionálních publikací. Každý rozdíl mezi publikací IEC a odpovídající národní nebo regionální</w:t>
      </w:r>
      <w:r w:rsidRPr="00D93363">
        <w:rPr>
          <w:sz w:val="18"/>
          <w:szCs w:val="18"/>
        </w:rPr>
        <w:t xml:space="preserve"> publikací v nich musí být jasně vyznačen.</w:t>
      </w:r>
    </w:p>
    <w:p w14:paraId="6509A5FB" w14:textId="77777777" w:rsidR="00D32EBF" w:rsidRPr="00D93363" w:rsidRDefault="00D32EBF" w:rsidP="00D32EBF">
      <w:pPr>
        <w:pStyle w:val="slovanseznamvnorm"/>
        <w:rPr>
          <w:sz w:val="18"/>
          <w:szCs w:val="18"/>
        </w:rPr>
      </w:pPr>
      <w:r w:rsidRPr="00D93363">
        <w:rPr>
          <w:sz w:val="18"/>
          <w:szCs w:val="18"/>
        </w:rPr>
        <w:t>IEC se nezabývá ověřováním shody. Služby posuzování shody a v některých oblastech přístup ke značkám shody poskytují nezávislé certifikační orgány. IEC nenese odpovědnost za žádné služby prováděné nezávislými certifikačními orgány.</w:t>
      </w:r>
    </w:p>
    <w:p w14:paraId="3E3168EC" w14:textId="77777777" w:rsidR="00D32EBF" w:rsidRPr="00D93363" w:rsidRDefault="00D32EBF" w:rsidP="00D32EBF">
      <w:pPr>
        <w:pStyle w:val="slovanseznamvnorm"/>
        <w:rPr>
          <w:sz w:val="18"/>
          <w:szCs w:val="18"/>
        </w:rPr>
      </w:pPr>
      <w:r w:rsidRPr="00D93363">
        <w:rPr>
          <w:sz w:val="18"/>
          <w:szCs w:val="18"/>
        </w:rPr>
        <w:t>Všichni uživatelé se mají ujistit, že mají poslední vydání této publikace.</w:t>
      </w:r>
    </w:p>
    <w:p w14:paraId="0892FE4E" w14:textId="77777777" w:rsidR="00D32EBF" w:rsidRPr="00D93363" w:rsidRDefault="00D32EBF" w:rsidP="00D32EBF">
      <w:pPr>
        <w:pStyle w:val="slovanseznamvnorm"/>
        <w:rPr>
          <w:sz w:val="18"/>
          <w:szCs w:val="18"/>
        </w:rPr>
      </w:pPr>
      <w:r w:rsidRPr="00D93363">
        <w:rPr>
          <w:sz w:val="18"/>
          <w:szCs w:val="18"/>
        </w:rPr>
        <w:t>IEC ani její říd</w:t>
      </w:r>
      <w:r>
        <w:rPr>
          <w:sz w:val="18"/>
          <w:szCs w:val="18"/>
        </w:rPr>
        <w:t>i</w:t>
      </w:r>
      <w:r w:rsidRPr="00D93363">
        <w:rPr>
          <w:sz w:val="18"/>
          <w:szCs w:val="18"/>
        </w:rPr>
        <w:t>cí pracovníci, zaměstnanci, pomocné síly nebo zástupci, včetně samostatných expertů a členů technických komisí a národních komisí IEC, neodpovídají za jakékoliv zranění osob, poškození majetku nebo poškození čehokoliv, ať už přímé, nebo nepřímé, ani za náklady (včetně právních poplatků) a výdaje spojené s publikováním, používáním a spoléháním se na tuto publikaci IEC nebo na jiné publikace IEC.</w:t>
      </w:r>
    </w:p>
    <w:p w14:paraId="0A329E47" w14:textId="77777777" w:rsidR="00D32EBF" w:rsidRPr="00D93363" w:rsidRDefault="00D32EBF" w:rsidP="00D32EBF">
      <w:pPr>
        <w:pStyle w:val="slovanseznamvnorm"/>
        <w:rPr>
          <w:sz w:val="18"/>
          <w:szCs w:val="18"/>
        </w:rPr>
      </w:pPr>
      <w:r w:rsidRPr="00D93363">
        <w:rPr>
          <w:sz w:val="18"/>
          <w:szCs w:val="18"/>
        </w:rPr>
        <w:t>Upozorňuje se na normativní odkazy citované v této publikaci. Používání citovaných publikací je nezbytné ke správnému používání této publikace.</w:t>
      </w:r>
    </w:p>
    <w:p w14:paraId="52EEB626" w14:textId="77777777" w:rsidR="00D32EBF" w:rsidRPr="00D93363" w:rsidRDefault="00D32EBF" w:rsidP="00D32EBF">
      <w:pPr>
        <w:pStyle w:val="slovanseznamvnorm"/>
        <w:rPr>
          <w:sz w:val="18"/>
          <w:szCs w:val="18"/>
        </w:rPr>
      </w:pPr>
      <w:r w:rsidRPr="00D93363">
        <w:rPr>
          <w:sz w:val="18"/>
          <w:szCs w:val="18"/>
        </w:rPr>
        <w:t>Upozorňuje se na možnost, že některé prvky této publikace IEC mohou být předmětem patentových práv. IEC nelze činit odpovědnou za identifikaci jakéhokoliv nebo všech patentových práv.</w:t>
      </w:r>
    </w:p>
    <w:p w14:paraId="2ACEBE07" w14:textId="77777777" w:rsidR="00D32EBF" w:rsidRPr="004608F9" w:rsidRDefault="00D32EBF" w:rsidP="00D32EBF">
      <w:pPr>
        <w:pStyle w:val="Textnormy"/>
      </w:pPr>
      <w:r w:rsidRPr="004608F9">
        <w:t>Mezinárodní normu IEC 60050-</w:t>
      </w:r>
      <w:r>
        <w:t>195</w:t>
      </w:r>
      <w:r w:rsidRPr="004608F9">
        <w:t xml:space="preserve"> vypracovala technická komise IEC/TC </w:t>
      </w:r>
      <w:r>
        <w:t>1</w:t>
      </w:r>
      <w:r w:rsidRPr="004608F9">
        <w:t xml:space="preserve"> </w:t>
      </w:r>
      <w:r w:rsidRPr="004608F9">
        <w:rPr>
          <w:i/>
        </w:rPr>
        <w:t>Terminologie</w:t>
      </w:r>
      <w:r w:rsidRPr="004608F9">
        <w:t>.</w:t>
      </w:r>
    </w:p>
    <w:p w14:paraId="585CCD6F" w14:textId="77777777" w:rsidR="00D32EBF" w:rsidRDefault="00D32EBF" w:rsidP="00D32EBF">
      <w:pPr>
        <w:pStyle w:val="Textnormy"/>
      </w:pPr>
      <w:r>
        <w:t>Toto druhé vydání, které uvádí základní termíny a definice týkající se ochrany před úrazem elektrickým proudem, zrušuje a nahrazuje první vydání IEC 60050-195:1998 a IEC 60050-195:1998/AMD1:2001. Dokument představuje technickou revizi a zohledňuje IEC 61140:2016, z níž byla doplněna souvisící hesla. Nová hesla byla doplněna na konec příslušného oddílu. Pojmy, které se již nepovažují za vhodné pro zařazení, byly vypuštěny.</w:t>
      </w:r>
    </w:p>
    <w:p w14:paraId="7B4212AF" w14:textId="77777777" w:rsidR="00D32EBF" w:rsidRDefault="00D32EBF" w:rsidP="00D32EBF">
      <w:pPr>
        <w:pStyle w:val="Textnormy"/>
      </w:pPr>
      <w:r>
        <w:t xml:space="preserve">Má status horizontální publikace v souladu s Pokynem IEC 108. </w:t>
      </w:r>
    </w:p>
    <w:p w14:paraId="30D3AAFA" w14:textId="77777777" w:rsidR="00D32EBF" w:rsidRPr="00AC0FA5" w:rsidRDefault="00D32EBF" w:rsidP="00D32EBF">
      <w:pPr>
        <w:pStyle w:val="Textnormy"/>
      </w:pPr>
      <w:r w:rsidRPr="00AC0FA5">
        <w:t xml:space="preserve">Text této normy se zakládá na těchto dokumentech: </w:t>
      </w: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268"/>
        <w:gridCol w:w="2268"/>
      </w:tblGrid>
      <w:tr w:rsidR="00D32EBF" w:rsidRPr="00AC0FA5" w14:paraId="289CD35F" w14:textId="77777777" w:rsidTr="00A92AAA">
        <w:trPr>
          <w:jc w:val="center"/>
        </w:trPr>
        <w:tc>
          <w:tcPr>
            <w:tcW w:w="2268" w:type="dxa"/>
          </w:tcPr>
          <w:p w14:paraId="435305C6" w14:textId="77777777" w:rsidR="00D32EBF" w:rsidRPr="00AC0FA5" w:rsidRDefault="00D32EBF" w:rsidP="00A92AAA">
            <w:pPr>
              <w:pStyle w:val="Texttabulky"/>
              <w:jc w:val="center"/>
            </w:pPr>
            <w:r w:rsidRPr="00AC0FA5">
              <w:t>FDIS</w:t>
            </w:r>
          </w:p>
        </w:tc>
        <w:tc>
          <w:tcPr>
            <w:tcW w:w="2268" w:type="dxa"/>
          </w:tcPr>
          <w:p w14:paraId="6311454F" w14:textId="77777777" w:rsidR="00D32EBF" w:rsidRPr="00AC0FA5" w:rsidRDefault="00D32EBF" w:rsidP="00A92AAA">
            <w:pPr>
              <w:pStyle w:val="Texttabulky"/>
              <w:jc w:val="center"/>
            </w:pPr>
            <w:r w:rsidRPr="00AC0FA5">
              <w:t>Zpráva o hlasování</w:t>
            </w:r>
          </w:p>
        </w:tc>
      </w:tr>
      <w:tr w:rsidR="00D32EBF" w:rsidRPr="00AC0FA5" w14:paraId="2621638E" w14:textId="77777777" w:rsidTr="00A92AAA">
        <w:trPr>
          <w:jc w:val="center"/>
        </w:trPr>
        <w:tc>
          <w:tcPr>
            <w:tcW w:w="2268" w:type="dxa"/>
          </w:tcPr>
          <w:p w14:paraId="2365BE07" w14:textId="77777777" w:rsidR="00D32EBF" w:rsidRPr="00AC0FA5" w:rsidRDefault="00D32EBF" w:rsidP="00A92AAA">
            <w:pPr>
              <w:pStyle w:val="Texttabulky"/>
              <w:jc w:val="center"/>
            </w:pPr>
            <w:r>
              <w:t>1</w:t>
            </w:r>
            <w:r w:rsidRPr="00AC0FA5">
              <w:t>/</w:t>
            </w:r>
            <w:r>
              <w:t>2446/</w:t>
            </w:r>
            <w:r w:rsidRPr="00AC0FA5">
              <w:t>FDIS</w:t>
            </w:r>
          </w:p>
        </w:tc>
        <w:tc>
          <w:tcPr>
            <w:tcW w:w="2268" w:type="dxa"/>
          </w:tcPr>
          <w:p w14:paraId="1137D635" w14:textId="77777777" w:rsidR="00D32EBF" w:rsidRPr="00AC0FA5" w:rsidRDefault="00D32EBF" w:rsidP="00A92AAA">
            <w:pPr>
              <w:pStyle w:val="Texttabulky"/>
              <w:jc w:val="center"/>
            </w:pPr>
            <w:r>
              <w:t>1</w:t>
            </w:r>
            <w:r w:rsidRPr="00AC0FA5">
              <w:t>/</w:t>
            </w:r>
            <w:r>
              <w:t>2447</w:t>
            </w:r>
            <w:r w:rsidRPr="00AC0FA5">
              <w:t>/RVD</w:t>
            </w:r>
          </w:p>
        </w:tc>
      </w:tr>
    </w:tbl>
    <w:p w14:paraId="69F5102E" w14:textId="77777777" w:rsidR="00D32EBF" w:rsidRPr="005E5CE7" w:rsidRDefault="00D32EBF" w:rsidP="00D32EBF">
      <w:pPr>
        <w:pStyle w:val="Textnormy"/>
        <w:spacing w:before="240"/>
      </w:pPr>
      <w:r w:rsidRPr="005E5CE7">
        <w:t>Úplnou informaci o hlasování při schvalování této normy lze najít ve zprávě o hlasování ve výše uvedené tabulce.</w:t>
      </w:r>
    </w:p>
    <w:p w14:paraId="797AAD7E" w14:textId="77777777" w:rsidR="00D32EBF" w:rsidRDefault="00D32EBF" w:rsidP="00D32EBF">
      <w:pPr>
        <w:pStyle w:val="Textnormy"/>
      </w:pPr>
      <w:r w:rsidRPr="00AC0FA5">
        <w:t>Tato publikace byla vypracována v souladu se směrnicemi ISO/IEC, část 2.</w:t>
      </w:r>
    </w:p>
    <w:p w14:paraId="725EB37B" w14:textId="77777777" w:rsidR="00D32EBF" w:rsidRPr="00AC0FA5" w:rsidRDefault="00D32EBF" w:rsidP="00D32EBF">
      <w:pPr>
        <w:pStyle w:val="Textnormy"/>
      </w:pPr>
      <w:r w:rsidRPr="00FF09A4">
        <w:t>V této části IEV jsou termíny a definice poskytovány v</w:t>
      </w:r>
      <w:r>
        <w:t xml:space="preserve">e </w:t>
      </w:r>
      <w:r w:rsidRPr="00FF09A4">
        <w:t xml:space="preserve">francouzštině a angličtině; kromě toho jsou uvedeny termíny v arabštině (ar), němčině (de), španělštině (es), japonštině (ja), </w:t>
      </w:r>
      <w:r>
        <w:t xml:space="preserve">korejštině (ko), </w:t>
      </w:r>
      <w:r w:rsidRPr="00FF09A4">
        <w:t>polštině (pl), portugalštině (pt)</w:t>
      </w:r>
      <w:r>
        <w:t>, švédštině (sv)</w:t>
      </w:r>
      <w:r w:rsidRPr="00FF09A4">
        <w:t xml:space="preserve"> a čínštině (zh).</w:t>
      </w:r>
      <w:r>
        <w:rPr>
          <w:rStyle w:val="Znakapoznpodarou"/>
        </w:rPr>
        <w:footnoteReference w:customMarkFollows="1" w:id="1"/>
        <w:t>NP1)</w:t>
      </w:r>
    </w:p>
    <w:p w14:paraId="36186780" w14:textId="77777777" w:rsidR="00D32EBF" w:rsidRPr="00D93363" w:rsidRDefault="00D32EBF" w:rsidP="00D32EBF">
      <w:pPr>
        <w:pStyle w:val="Textnormy"/>
      </w:pPr>
      <w:r w:rsidRPr="00D93363">
        <w:t xml:space="preserve">Seznam všech částí souboru IEC 60050 </w:t>
      </w:r>
      <w:r>
        <w:t>se</w:t>
      </w:r>
      <w:r w:rsidRPr="00D93363">
        <w:t xml:space="preserve"> společným názvem </w:t>
      </w:r>
      <w:r w:rsidRPr="00D93363">
        <w:rPr>
          <w:i/>
        </w:rPr>
        <w:t xml:space="preserve">Mezinárodní elektrotechnický slovník </w:t>
      </w:r>
      <w:r w:rsidRPr="00D93363">
        <w:t>je možno nalézt na webových stránkách IEC a je dostupný na www.electropedia.org.</w:t>
      </w:r>
    </w:p>
    <w:p w14:paraId="6147700A" w14:textId="77777777" w:rsidR="00D32EBF" w:rsidRPr="00F73CD1" w:rsidRDefault="00D32EBF" w:rsidP="00D32EBF">
      <w:pPr>
        <w:pStyle w:val="Nadpis1"/>
        <w:pageBreakBefore/>
        <w:spacing w:before="0"/>
      </w:pPr>
      <w:bookmarkStart w:id="31" w:name="_Toc114384677"/>
      <w:bookmarkStart w:id="32" w:name="_Toc377287452"/>
      <w:bookmarkStart w:id="33" w:name="_Toc88329525"/>
      <w:bookmarkStart w:id="34" w:name="_Toc99963430"/>
      <w:bookmarkStart w:id="35" w:name="_Toc359251363"/>
      <w:bookmarkStart w:id="36" w:name="_Toc359251521"/>
      <w:bookmarkStart w:id="37" w:name="_Toc359251681"/>
      <w:bookmarkStart w:id="38" w:name="_Toc359251938"/>
      <w:bookmarkStart w:id="39" w:name="_Toc359252127"/>
      <w:bookmarkStart w:id="40" w:name="_Toc359252242"/>
      <w:bookmarkStart w:id="41" w:name="_Toc359252485"/>
      <w:bookmarkStart w:id="42" w:name="_Toc359252725"/>
      <w:bookmarkStart w:id="43" w:name="_Toc359252846"/>
      <w:bookmarkStart w:id="44" w:name="_Toc359252920"/>
      <w:bookmarkStart w:id="45" w:name="_Toc359283646"/>
      <w:bookmarkStart w:id="46" w:name="_Toc365965546"/>
      <w:bookmarkStart w:id="47" w:name="_Toc365967313"/>
      <w:bookmarkStart w:id="48" w:name="_Toc365968760"/>
      <w:bookmarkStart w:id="49" w:name="_Toc367082925"/>
      <w:bookmarkStart w:id="50" w:name="_Toc372429540"/>
      <w:bookmarkStart w:id="51" w:name="_Toc375302774"/>
      <w:bookmarkStart w:id="52" w:name="_Toc379098931"/>
      <w:bookmarkStart w:id="53" w:name="_Toc380735104"/>
      <w:bookmarkStart w:id="54" w:name="_Toc380735204"/>
      <w:bookmarkStart w:id="55" w:name="_Toc380825388"/>
      <w:bookmarkStart w:id="56" w:name="_Toc380827277"/>
      <w:bookmarkStart w:id="57" w:name="_Toc380886223"/>
      <w:bookmarkStart w:id="58" w:name="_Toc380886261"/>
      <w:bookmarkStart w:id="59" w:name="_Toc380886371"/>
      <w:bookmarkStart w:id="60" w:name="_Toc380886468"/>
      <w:bookmarkStart w:id="61" w:name="_Toc4487159"/>
      <w:bookmarkStart w:id="62" w:name="_Toc4487251"/>
      <w:r w:rsidRPr="00F73CD1">
        <w:lastRenderedPageBreak/>
        <w:t>Úvod</w:t>
      </w:r>
      <w:bookmarkEnd w:id="31"/>
      <w:bookmarkEnd w:id="32"/>
      <w:bookmarkEnd w:id="33"/>
      <w:bookmarkEnd w:id="34"/>
    </w:p>
    <w:p w14:paraId="0CA227F9" w14:textId="77777777" w:rsidR="00D32EBF" w:rsidRPr="00F73CD1" w:rsidRDefault="00D32EBF" w:rsidP="00D32EBF">
      <w:pPr>
        <w:pStyle w:val="Nadpis1"/>
      </w:pPr>
      <w:bookmarkStart w:id="63" w:name="_Toc50611859"/>
      <w:bookmarkStart w:id="64" w:name="_Toc99963431"/>
      <w:r w:rsidRPr="00F73CD1">
        <w:t>Dodržované principy a</w:t>
      </w:r>
      <w:r>
        <w:t> </w:t>
      </w:r>
      <w:r w:rsidRPr="00F73CD1">
        <w:t>pravidla</w:t>
      </w:r>
      <w:bookmarkEnd w:id="63"/>
      <w:bookmarkEnd w:id="64"/>
    </w:p>
    <w:p w14:paraId="43E423FE" w14:textId="77777777" w:rsidR="00D32EBF" w:rsidRPr="00F73CD1" w:rsidRDefault="00D32EBF" w:rsidP="00D32EBF">
      <w:pPr>
        <w:pStyle w:val="Nadpislnku"/>
      </w:pPr>
      <w:r w:rsidRPr="00F73CD1">
        <w:t>Obecně</w:t>
      </w:r>
    </w:p>
    <w:p w14:paraId="2245AB61" w14:textId="77777777" w:rsidR="00D32EBF" w:rsidRPr="00D93363" w:rsidRDefault="00D32EBF" w:rsidP="00D32EBF">
      <w:pPr>
        <w:pStyle w:val="Textnormy"/>
      </w:pPr>
      <w:r w:rsidRPr="00D93363">
        <w:t>IEV (IEC 60050</w:t>
      </w:r>
      <w:r>
        <w:t xml:space="preserve">, </w:t>
      </w:r>
      <w:r w:rsidRPr="001C7F21">
        <w:rPr>
          <w:i/>
          <w:iCs/>
        </w:rPr>
        <w:t>Mezinárodní elektrotechnický slovník</w:t>
      </w:r>
      <w:r w:rsidRPr="00D93363">
        <w:t xml:space="preserve">) je univerzální vícejazyčný slovník zahrnující oblast elektrotechniky, elektroniky a telekomunikací (dostupný na </w:t>
      </w:r>
      <w:hyperlink r:id="rId18" w:history="1">
        <w:r w:rsidRPr="00D93363">
          <w:rPr>
            <w:rStyle w:val="Hypertextovodkaz"/>
            <w:rFonts w:cs="Arial"/>
            <w:color w:val="000000"/>
            <w:lang w:eastAsia="ar-SA"/>
          </w:rPr>
          <w:t>www.electropedia.org</w:t>
        </w:r>
      </w:hyperlink>
      <w:r w:rsidRPr="00D93363">
        <w:t>). Obsahuje přibližně 2</w:t>
      </w:r>
      <w:r>
        <w:t>2</w:t>
      </w:r>
      <w:r w:rsidRPr="00D93363">
        <w:t xml:space="preserve"> 000 </w:t>
      </w:r>
      <w:r w:rsidRPr="00D93363">
        <w:rPr>
          <w:i/>
        </w:rPr>
        <w:t>terminologických hesel</w:t>
      </w:r>
      <w:r w:rsidRPr="00D93363">
        <w:t xml:space="preserve">, z nichž každé odpovídá jednomu </w:t>
      </w:r>
      <w:r w:rsidRPr="00D93363">
        <w:rPr>
          <w:i/>
        </w:rPr>
        <w:t>pojmu</w:t>
      </w:r>
      <w:r w:rsidRPr="00D93363">
        <w:t>. Tato</w:t>
      </w:r>
      <w:r>
        <w:t xml:space="preserve"> terminologická</w:t>
      </w:r>
      <w:r w:rsidRPr="00D93363">
        <w:t xml:space="preserve"> hesla jsou rozdělena do přibližně </w:t>
      </w:r>
      <w:r>
        <w:t>9</w:t>
      </w:r>
      <w:r w:rsidRPr="00D93363">
        <w:t xml:space="preserve">0 </w:t>
      </w:r>
      <w:r w:rsidRPr="00D93363">
        <w:rPr>
          <w:i/>
        </w:rPr>
        <w:t>částí</w:t>
      </w:r>
      <w:r w:rsidRPr="00D93363">
        <w:t>, přičemž každá část odpovídá určité oblasti.</w:t>
      </w:r>
    </w:p>
    <w:p w14:paraId="65CC757D" w14:textId="77777777" w:rsidR="00D32EBF" w:rsidRPr="00D93363" w:rsidRDefault="00D32EBF" w:rsidP="00D32EBF">
      <w:pPr>
        <w:pStyle w:val="Textnormy"/>
      </w:pPr>
      <w:r w:rsidRPr="00D93363">
        <w:t>PŘÍKLADY</w:t>
      </w:r>
    </w:p>
    <w:p w14:paraId="6FC420A9" w14:textId="77777777" w:rsidR="00D32EBF" w:rsidRPr="00D93363" w:rsidRDefault="00D32EBF" w:rsidP="00D32EBF">
      <w:pPr>
        <w:pStyle w:val="Textnormy"/>
        <w:ind w:left="426"/>
      </w:pPr>
      <w:r w:rsidRPr="00D93363">
        <w:rPr>
          <w:b/>
          <w:color w:val="000000"/>
        </w:rPr>
        <w:t>Část 161</w:t>
      </w:r>
      <w:r w:rsidRPr="00D93363">
        <w:t xml:space="preserve"> (IEC 60050-161): Elektromagnetická kompatibilita</w:t>
      </w:r>
    </w:p>
    <w:p w14:paraId="5225F4F2" w14:textId="77777777" w:rsidR="00D32EBF" w:rsidRPr="00D93363" w:rsidRDefault="00D32EBF" w:rsidP="00D32EBF">
      <w:pPr>
        <w:pStyle w:val="Textnormy"/>
        <w:ind w:left="426"/>
      </w:pPr>
      <w:r w:rsidRPr="00D93363">
        <w:rPr>
          <w:b/>
        </w:rPr>
        <w:t>Část 411</w:t>
      </w:r>
      <w:r w:rsidRPr="00D93363">
        <w:t xml:space="preserve"> (IEC 60050-411): Točivé stroje</w:t>
      </w:r>
    </w:p>
    <w:p w14:paraId="1532C401" w14:textId="77777777" w:rsidR="00D32EBF" w:rsidRPr="00D93363" w:rsidRDefault="00D32EBF" w:rsidP="00D32EBF">
      <w:pPr>
        <w:pStyle w:val="Textnormy"/>
      </w:pPr>
      <w:r>
        <w:t>Terminologická h</w:t>
      </w:r>
      <w:r w:rsidRPr="00D93363">
        <w:t>esla jsou řazena podle hierarchického klasifikačního schématu část/oddíl/pojem, pojmy jsou v oddílech uspořádány systematicky.</w:t>
      </w:r>
    </w:p>
    <w:p w14:paraId="579616E7" w14:textId="77777777" w:rsidR="00D32EBF" w:rsidRPr="00D93363" w:rsidRDefault="00D32EBF" w:rsidP="00D32EBF">
      <w:pPr>
        <w:pStyle w:val="Textnormy"/>
      </w:pPr>
      <w:r w:rsidRPr="00D93363">
        <w:t>Termíny a definice (popřípadě neverbální vyjádření, příklady, poznámky a zdroje) jsou v heslech uvedeny ve dvou nebo ve třech jazycích IEC, kterými jsou francouzština, angličtina a ruština (</w:t>
      </w:r>
      <w:r w:rsidRPr="00D93363">
        <w:rPr>
          <w:i/>
        </w:rPr>
        <w:t>základní jazyky IEV</w:t>
      </w:r>
      <w:r w:rsidRPr="00D93363">
        <w:t>).</w:t>
      </w:r>
    </w:p>
    <w:p w14:paraId="33F99321" w14:textId="77777777" w:rsidR="00D32EBF" w:rsidRDefault="00D32EBF" w:rsidP="00D32EBF">
      <w:pPr>
        <w:pStyle w:val="Textnormy"/>
      </w:pPr>
      <w:r w:rsidRPr="00D93363">
        <w:t xml:space="preserve">U každého </w:t>
      </w:r>
      <w:r>
        <w:t xml:space="preserve">terminologického </w:t>
      </w:r>
      <w:r w:rsidRPr="00D93363">
        <w:t>hesla jsou uvedeny také samostatné termíny v </w:t>
      </w:r>
      <w:r w:rsidRPr="00D93363">
        <w:rPr>
          <w:i/>
        </w:rPr>
        <w:t>doplňkových jazycích IEV</w:t>
      </w:r>
      <w:r w:rsidRPr="00D93363">
        <w:t xml:space="preserve"> </w:t>
      </w:r>
      <w:r>
        <w:t>[</w:t>
      </w:r>
      <w:r w:rsidRPr="00FF09A4">
        <w:t xml:space="preserve">arabštině (ar), němčině (de), španělštině (es), </w:t>
      </w:r>
      <w:r w:rsidRPr="00D93363">
        <w:t>finštině</w:t>
      </w:r>
      <w:r>
        <w:t xml:space="preserve"> (fi)</w:t>
      </w:r>
      <w:r w:rsidRPr="00D93363">
        <w:t>, italštině</w:t>
      </w:r>
      <w:r>
        <w:t xml:space="preserve"> (it)</w:t>
      </w:r>
      <w:r w:rsidRPr="00D93363">
        <w:t xml:space="preserve">, </w:t>
      </w:r>
      <w:r w:rsidRPr="00FF09A4">
        <w:t xml:space="preserve">japonštině (ja), </w:t>
      </w:r>
      <w:r>
        <w:t xml:space="preserve">korejštině (ko), mongolštině (mn), nizozemštině (Belgie) (nl BE), </w:t>
      </w:r>
      <w:r w:rsidRPr="00D93363">
        <w:t>norštině</w:t>
      </w:r>
      <w:r>
        <w:t xml:space="preserve"> (no) </w:t>
      </w:r>
      <w:r>
        <w:rPr>
          <w:rFonts w:ascii="ArialMT" w:hAnsi="ArialMT" w:cs="ArialMT"/>
        </w:rPr>
        <w:t>[Bokmål (nb) a Nynorsk (nn)]</w:t>
      </w:r>
      <w:r w:rsidRPr="00D93363">
        <w:t>, polštině</w:t>
      </w:r>
      <w:r>
        <w:t xml:space="preserve"> (pl)</w:t>
      </w:r>
      <w:r w:rsidRPr="00D93363">
        <w:t>, portugalštině</w:t>
      </w:r>
      <w:r>
        <w:t xml:space="preserve"> (pt)</w:t>
      </w:r>
      <w:r w:rsidRPr="00D93363">
        <w:t>, slovinštině</w:t>
      </w:r>
      <w:r>
        <w:t xml:space="preserve"> (sl)</w:t>
      </w:r>
      <w:r w:rsidRPr="00D93363">
        <w:t>, srbštině</w:t>
      </w:r>
      <w:r>
        <w:t xml:space="preserve"> (sr)</w:t>
      </w:r>
      <w:r w:rsidRPr="00D93363">
        <w:t xml:space="preserve">, </w:t>
      </w:r>
      <w:r>
        <w:t>švédštině (sv)</w:t>
      </w:r>
      <w:r w:rsidRPr="000D51BC">
        <w:t xml:space="preserve"> </w:t>
      </w:r>
      <w:r w:rsidRPr="00FF09A4">
        <w:t>a čínštině (zh)</w:t>
      </w:r>
      <w:r>
        <w:t>]</w:t>
      </w:r>
      <w:r w:rsidRPr="00D93363">
        <w:t>.</w:t>
      </w:r>
      <w:r>
        <w:rPr>
          <w:rStyle w:val="Znakapoznpodarou"/>
        </w:rPr>
        <w:footnoteReference w:customMarkFollows="1" w:id="2"/>
        <w:t>NP2)</w:t>
      </w:r>
    </w:p>
    <w:p w14:paraId="088E3275" w14:textId="77777777" w:rsidR="00D32EBF" w:rsidRPr="00FE115A" w:rsidRDefault="00D32EBF" w:rsidP="00A76402">
      <w:pPr>
        <w:pStyle w:val="Textnormy"/>
      </w:pPr>
      <w:r w:rsidRPr="00FE115A">
        <w:t>Informace týkající se IEV a zpracování a uvádění terminologických hesel jsou uvedeny v Doplňku IEC ke Směrnici ISO/IEC, v příloze SK. Dále uvedený text je souhrnem těchto pravidel.</w:t>
      </w:r>
    </w:p>
    <w:p w14:paraId="52326155" w14:textId="77777777" w:rsidR="00D32EBF" w:rsidRPr="00D93363" w:rsidRDefault="00D32EBF" w:rsidP="00D32EBF">
      <w:pPr>
        <w:pStyle w:val="Nadpislnku"/>
      </w:pPr>
      <w:r w:rsidRPr="00D93363">
        <w:t>Uspořádání terminologického hesla</w:t>
      </w:r>
    </w:p>
    <w:p w14:paraId="71CCE7DF" w14:textId="77777777" w:rsidR="00D32EBF" w:rsidRPr="00D93363" w:rsidRDefault="00D32EBF" w:rsidP="00D32EBF">
      <w:pPr>
        <w:pStyle w:val="Textnormy"/>
      </w:pPr>
      <w:r w:rsidRPr="00D93363">
        <w:t xml:space="preserve">Každé </w:t>
      </w:r>
      <w:r>
        <w:t xml:space="preserve">terminologické </w:t>
      </w:r>
      <w:r w:rsidRPr="00D93363">
        <w:t>heslo odpovídá určitému pojmu a obsahuje:</w:t>
      </w:r>
    </w:p>
    <w:p w14:paraId="5CE848BA" w14:textId="77777777" w:rsidR="00D32EBF" w:rsidRPr="00D93363" w:rsidRDefault="00D32EBF" w:rsidP="00D32EBF">
      <w:pPr>
        <w:pStyle w:val="Seznamvnorm"/>
        <w:ind w:left="283" w:hanging="283"/>
      </w:pPr>
      <w:r w:rsidRPr="00D93363">
        <w:t xml:space="preserve">číslo </w:t>
      </w:r>
      <w:r w:rsidRPr="00D93363">
        <w:rPr>
          <w:i/>
        </w:rPr>
        <w:t>hesla</w:t>
      </w:r>
      <w:r w:rsidRPr="00D93363">
        <w:t>,</w:t>
      </w:r>
    </w:p>
    <w:p w14:paraId="563AE501" w14:textId="77777777" w:rsidR="00D32EBF" w:rsidRPr="00D93363" w:rsidRDefault="00D32EBF" w:rsidP="00D32EBF">
      <w:pPr>
        <w:pStyle w:val="Seznamvnorm"/>
        <w:ind w:left="283" w:hanging="283"/>
        <w:rPr>
          <w:i/>
        </w:rPr>
      </w:pPr>
      <w:r w:rsidRPr="00D93363">
        <w:t>popřípadě</w:t>
      </w:r>
      <w:r w:rsidRPr="00D93363">
        <w:rPr>
          <w:i/>
        </w:rPr>
        <w:t xml:space="preserve"> písmennou značku pro veličinu nebo jednotku,</w:t>
      </w:r>
    </w:p>
    <w:p w14:paraId="2C70449C" w14:textId="77777777" w:rsidR="00D32EBF" w:rsidRPr="00D93363" w:rsidRDefault="00D32EBF" w:rsidP="00D32EBF">
      <w:pPr>
        <w:pStyle w:val="Textnormy"/>
      </w:pPr>
      <w:r w:rsidRPr="00D93363">
        <w:t>dále pro každý základní jazyk IEV:</w:t>
      </w:r>
    </w:p>
    <w:p w14:paraId="6A04E811" w14:textId="77777777" w:rsidR="00D32EBF" w:rsidRPr="00D93363" w:rsidRDefault="00D32EBF" w:rsidP="00D32EBF">
      <w:pPr>
        <w:pStyle w:val="Seznamvnorm"/>
        <w:ind w:left="283" w:hanging="283"/>
      </w:pPr>
      <w:r w:rsidRPr="00D93363">
        <w:t>termín označující pojem, nazývaný „</w:t>
      </w:r>
      <w:r w:rsidRPr="00D93363">
        <w:rPr>
          <w:i/>
        </w:rPr>
        <w:t>preferovaný termín</w:t>
      </w:r>
      <w:r w:rsidRPr="00D93363">
        <w:t xml:space="preserve">“, popřípadě doplněný </w:t>
      </w:r>
      <w:r w:rsidRPr="00D93363">
        <w:rPr>
          <w:i/>
        </w:rPr>
        <w:t xml:space="preserve">synonymy </w:t>
      </w:r>
      <w:r w:rsidRPr="00D93363">
        <w:t>a</w:t>
      </w:r>
      <w:r w:rsidRPr="00D93363">
        <w:rPr>
          <w:i/>
        </w:rPr>
        <w:t> zkratkami</w:t>
      </w:r>
      <w:r w:rsidRPr="00D93363">
        <w:t>,</w:t>
      </w:r>
    </w:p>
    <w:p w14:paraId="5947B462" w14:textId="77777777" w:rsidR="00D32EBF" w:rsidRPr="00D93363" w:rsidRDefault="00D32EBF" w:rsidP="00D32EBF">
      <w:pPr>
        <w:pStyle w:val="Seznamvnorm"/>
        <w:ind w:left="283" w:hanging="283"/>
      </w:pPr>
      <w:r w:rsidRPr="00D93363">
        <w:rPr>
          <w:i/>
        </w:rPr>
        <w:t>definici</w:t>
      </w:r>
      <w:r w:rsidRPr="00D93363">
        <w:t xml:space="preserve"> pojmu,</w:t>
      </w:r>
    </w:p>
    <w:p w14:paraId="2EDFF622" w14:textId="77777777" w:rsidR="00D32EBF" w:rsidRPr="00D93363" w:rsidRDefault="00D32EBF" w:rsidP="00D32EBF">
      <w:pPr>
        <w:pStyle w:val="Seznamvnorm"/>
        <w:ind w:left="283" w:hanging="283"/>
      </w:pPr>
      <w:r w:rsidRPr="00D93363">
        <w:t xml:space="preserve">popřípadě </w:t>
      </w:r>
      <w:r w:rsidRPr="006E5B3D">
        <w:rPr>
          <w:i/>
          <w:iCs/>
        </w:rPr>
        <w:t>neverbální vyjádření</w:t>
      </w:r>
      <w:r w:rsidRPr="00D93363">
        <w:t xml:space="preserve">, </w:t>
      </w:r>
      <w:r w:rsidRPr="006E5B3D">
        <w:rPr>
          <w:i/>
          <w:iCs/>
        </w:rPr>
        <w:t>příklady</w:t>
      </w:r>
      <w:r w:rsidRPr="00D93363">
        <w:t xml:space="preserve"> a </w:t>
      </w:r>
      <w:r w:rsidRPr="006E5B3D">
        <w:rPr>
          <w:i/>
          <w:iCs/>
        </w:rPr>
        <w:t>poznámky k heslu</w:t>
      </w:r>
      <w:r w:rsidRPr="00D93363">
        <w:t>,</w:t>
      </w:r>
    </w:p>
    <w:p w14:paraId="60F24AB8" w14:textId="77777777" w:rsidR="00D32EBF" w:rsidRPr="00D93363" w:rsidRDefault="00D32EBF" w:rsidP="00D32EBF">
      <w:pPr>
        <w:pStyle w:val="Seznamvnorm"/>
        <w:ind w:left="283" w:hanging="283"/>
      </w:pPr>
      <w:r w:rsidRPr="00D93363">
        <w:t xml:space="preserve">popřípadě </w:t>
      </w:r>
      <w:r w:rsidRPr="00D93363">
        <w:rPr>
          <w:i/>
        </w:rPr>
        <w:t>zdroj</w:t>
      </w:r>
    </w:p>
    <w:p w14:paraId="4A2962EA" w14:textId="77777777" w:rsidR="00D32EBF" w:rsidRPr="00D93363" w:rsidRDefault="00D32EBF" w:rsidP="00D32EBF">
      <w:pPr>
        <w:pStyle w:val="Textnormy"/>
      </w:pPr>
      <w:r w:rsidRPr="00D93363">
        <w:t>a na konci samostatné termíny v doplňkových jazycích IEV.</w:t>
      </w:r>
    </w:p>
    <w:p w14:paraId="30C47E54" w14:textId="77777777" w:rsidR="00D32EBF" w:rsidRPr="00D93363" w:rsidRDefault="00D32EBF" w:rsidP="00D32EBF">
      <w:pPr>
        <w:pStyle w:val="Nadpislnku"/>
      </w:pPr>
      <w:r w:rsidRPr="00D93363">
        <w:t xml:space="preserve">Číslo </w:t>
      </w:r>
      <w:r>
        <w:t>IEV</w:t>
      </w:r>
    </w:p>
    <w:p w14:paraId="7D2F35C0" w14:textId="77777777" w:rsidR="00D32EBF" w:rsidRPr="00D93363" w:rsidRDefault="00D32EBF" w:rsidP="00D32EBF">
      <w:pPr>
        <w:pStyle w:val="Textnormy"/>
      </w:pPr>
      <w:r w:rsidRPr="00D93363">
        <w:t xml:space="preserve">Číslo </w:t>
      </w:r>
      <w:r>
        <w:t>IEV</w:t>
      </w:r>
      <w:r w:rsidRPr="00D93363">
        <w:t xml:space="preserve"> se skládá ze tří prvků oddělených spojovníky:</w:t>
      </w:r>
    </w:p>
    <w:p w14:paraId="172E13C5" w14:textId="77777777" w:rsidR="00D32EBF" w:rsidRPr="00D93363" w:rsidRDefault="00D32EBF" w:rsidP="00D32EBF">
      <w:pPr>
        <w:pStyle w:val="Textnormy"/>
        <w:ind w:left="426"/>
      </w:pPr>
      <w:r w:rsidRPr="00D93363">
        <w:t>Číslo části: 3 číslice,</w:t>
      </w:r>
    </w:p>
    <w:p w14:paraId="5DB91A59" w14:textId="77777777" w:rsidR="00D32EBF" w:rsidRPr="00D93363" w:rsidRDefault="00D32EBF" w:rsidP="00D32EBF">
      <w:pPr>
        <w:pStyle w:val="Textnormy"/>
        <w:ind w:left="426"/>
      </w:pPr>
      <w:r w:rsidRPr="00D93363">
        <w:t>Číslo oddílu: 2 číslice,</w:t>
      </w:r>
    </w:p>
    <w:p w14:paraId="2134A180" w14:textId="77777777" w:rsidR="00D32EBF" w:rsidRPr="00D93363" w:rsidRDefault="00D32EBF" w:rsidP="00D32EBF">
      <w:pPr>
        <w:pStyle w:val="Textnormy"/>
        <w:ind w:left="426"/>
      </w:pPr>
      <w:r w:rsidRPr="00D93363">
        <w:t xml:space="preserve">Číslo pojmu: </w:t>
      </w:r>
      <w:r>
        <w:t>posloupnost desítkových číslic, v nichž čelní nuly jsou přípustné, ale nadbytečné (například 1 až 113, 01 až 99, 001 až 127)</w:t>
      </w:r>
      <w:r w:rsidRPr="00D93363">
        <w:t>.</w:t>
      </w:r>
    </w:p>
    <w:p w14:paraId="7B2464D1" w14:textId="1ED38DD7" w:rsidR="00D32EBF" w:rsidRPr="00D93363" w:rsidRDefault="00D32EBF" w:rsidP="00F3350F">
      <w:pPr>
        <w:pStyle w:val="Textnormy"/>
      </w:pPr>
      <w:r w:rsidRPr="00D93363">
        <w:t>PŘÍKLA</w:t>
      </w:r>
      <w:r w:rsidR="00F3350F">
        <w:t>D</w:t>
      </w:r>
      <w:r w:rsidR="00F3350F">
        <w:t> </w:t>
      </w:r>
      <w:r w:rsidRPr="00F3350F">
        <w:rPr>
          <w:b/>
          <w:bCs/>
        </w:rPr>
        <w:t>845-27-003</w:t>
      </w:r>
    </w:p>
    <w:p w14:paraId="3E3CA468" w14:textId="77777777" w:rsidR="00D32EBF" w:rsidRPr="00D93363" w:rsidRDefault="00D32EBF" w:rsidP="00D32EBF">
      <w:pPr>
        <w:pStyle w:val="Nadpislnku"/>
      </w:pPr>
      <w:r w:rsidRPr="00D93363">
        <w:t>Písmenné značky pro veličiny a jednotky</w:t>
      </w:r>
    </w:p>
    <w:p w14:paraId="377BF4A3" w14:textId="77777777" w:rsidR="00D32EBF" w:rsidRPr="00D93363" w:rsidRDefault="00D32EBF" w:rsidP="00D32EBF">
      <w:pPr>
        <w:pStyle w:val="Textnormy"/>
      </w:pPr>
      <w:r w:rsidRPr="00D93363">
        <w:t xml:space="preserve">Tyto značky, které jsou jazykově nezávislé, jsou uvedeny na samostatném řádku za číslem </w:t>
      </w:r>
      <w:r>
        <w:t>IEV</w:t>
      </w:r>
      <w:r w:rsidRPr="00D93363">
        <w:t>.</w:t>
      </w:r>
    </w:p>
    <w:p w14:paraId="2964D64D" w14:textId="77777777" w:rsidR="00D32EBF" w:rsidRPr="00D93363" w:rsidRDefault="00D32EBF" w:rsidP="00F3350F">
      <w:pPr>
        <w:pStyle w:val="Textnormy"/>
        <w:pageBreakBefore/>
        <w:spacing w:before="60"/>
      </w:pPr>
      <w:r w:rsidRPr="00D93363">
        <w:lastRenderedPageBreak/>
        <w:t>PŘÍKLAD</w:t>
      </w:r>
    </w:p>
    <w:p w14:paraId="1C7E0D95" w14:textId="77777777" w:rsidR="00D32EBF" w:rsidRPr="00D93363" w:rsidRDefault="00D32EBF" w:rsidP="00D32EBF">
      <w:pPr>
        <w:pStyle w:val="Textnormy"/>
        <w:ind w:left="426"/>
        <w:rPr>
          <w:b/>
        </w:rPr>
      </w:pPr>
      <w:r w:rsidRPr="00D93363">
        <w:rPr>
          <w:b/>
        </w:rPr>
        <w:t>131-12-04</w:t>
      </w:r>
    </w:p>
    <w:p w14:paraId="2ADBDD27" w14:textId="77777777" w:rsidR="00D32EBF" w:rsidRPr="00D93363" w:rsidRDefault="00D32EBF" w:rsidP="00D32EBF">
      <w:pPr>
        <w:pStyle w:val="Textnormy"/>
        <w:ind w:left="426"/>
      </w:pPr>
      <w:r w:rsidRPr="00D93363">
        <w:rPr>
          <w:i/>
        </w:rPr>
        <w:t>R</w:t>
      </w:r>
    </w:p>
    <w:p w14:paraId="4FBFFAB5" w14:textId="77777777" w:rsidR="00D32EBF" w:rsidRPr="00D93363" w:rsidRDefault="00D32EBF" w:rsidP="00D32EBF">
      <w:pPr>
        <w:pStyle w:val="Textnormy"/>
        <w:ind w:left="426"/>
        <w:rPr>
          <w:b/>
        </w:rPr>
      </w:pPr>
      <w:r w:rsidRPr="00D93363">
        <w:rPr>
          <w:b/>
        </w:rPr>
        <w:t>odpor</w:t>
      </w:r>
    </w:p>
    <w:p w14:paraId="1301CDEB" w14:textId="77777777" w:rsidR="00D32EBF" w:rsidRPr="00D93363" w:rsidRDefault="00D32EBF" w:rsidP="00D32EBF">
      <w:pPr>
        <w:pStyle w:val="Nadpislnku"/>
      </w:pPr>
      <w:r w:rsidRPr="00D93363">
        <w:t>Preferovaný termín a synonyma</w:t>
      </w:r>
    </w:p>
    <w:p w14:paraId="474573E2" w14:textId="77777777" w:rsidR="00D32EBF" w:rsidRPr="00D93363" w:rsidRDefault="00D32EBF" w:rsidP="00D32EBF">
      <w:pPr>
        <w:pStyle w:val="Textnormy"/>
      </w:pPr>
      <w:r w:rsidRPr="00D93363">
        <w:rPr>
          <w:color w:val="000000"/>
        </w:rPr>
        <w:t xml:space="preserve">Preferovaný termín je termín, který </w:t>
      </w:r>
      <w:r>
        <w:rPr>
          <w:color w:val="000000"/>
        </w:rPr>
        <w:t xml:space="preserve">je uveden </w:t>
      </w:r>
      <w:r w:rsidRPr="00D93363">
        <w:rPr>
          <w:color w:val="000000"/>
        </w:rPr>
        <w:t>na začátku terminologického hesla v daném jazyce</w:t>
      </w:r>
      <w:r w:rsidRPr="00D93363">
        <w:rPr>
          <w:color w:val="000000"/>
        </w:rPr>
        <w:sym w:font="Symbol" w:char="F03B"/>
      </w:r>
      <w:r w:rsidRPr="00D93363">
        <w:rPr>
          <w:color w:val="000000"/>
        </w:rPr>
        <w:t xml:space="preserve"> za ním mohou následovat synonyma.</w:t>
      </w:r>
      <w:r w:rsidRPr="00D93363">
        <w:t xml:space="preserve"> Je vytištěn tučným písmem.</w:t>
      </w:r>
    </w:p>
    <w:p w14:paraId="4E7B71D4" w14:textId="77777777" w:rsidR="00D32EBF" w:rsidRPr="00F73CD1" w:rsidRDefault="00D32EBF" w:rsidP="00D32EBF">
      <w:pPr>
        <w:pStyle w:val="Textnormy"/>
      </w:pPr>
      <w:r w:rsidRPr="00F73CD1">
        <w:rPr>
          <w:i/>
        </w:rPr>
        <w:t>Synonyma</w:t>
      </w:r>
      <w:r w:rsidRPr="00F73CD1">
        <w:t>:</w:t>
      </w:r>
    </w:p>
    <w:p w14:paraId="70CAABDA" w14:textId="77777777" w:rsidR="00D32EBF" w:rsidRPr="00D93363" w:rsidRDefault="00D32EBF" w:rsidP="00D32EBF">
      <w:pPr>
        <w:pStyle w:val="Textnormy"/>
      </w:pPr>
      <w:r w:rsidRPr="00D93363">
        <w:t xml:space="preserve">Synonyma jsou vytištěna na samostatných řádcích pod preferovaným termínem: jsou rovněž vytištěna tučným písmem, vyjma nevhodných synonym, která jsou vytištěna netučným písmem. </w:t>
      </w:r>
      <w:r>
        <w:t>Před</w:t>
      </w:r>
      <w:r w:rsidRPr="00D93363">
        <w:t xml:space="preserve"> nevhodným synonymem </w:t>
      </w:r>
      <w:r>
        <w:t>je uvedeno</w:t>
      </w:r>
      <w:r w:rsidRPr="00D93363">
        <w:t xml:space="preserve"> označení „NEVHODNÝ TERMÍN“.</w:t>
      </w:r>
    </w:p>
    <w:p w14:paraId="2A2FC23B" w14:textId="77777777" w:rsidR="00D32EBF" w:rsidRPr="00342A67" w:rsidRDefault="00D32EBF" w:rsidP="00D32EBF">
      <w:pPr>
        <w:pStyle w:val="Textnormy"/>
        <w:rPr>
          <w:rStyle w:val="Hypertextovodkaz"/>
          <w:color w:val="auto"/>
        </w:rPr>
      </w:pPr>
      <w:r w:rsidRPr="00D93363">
        <w:rPr>
          <w:i/>
        </w:rPr>
        <w:t>Neexistence odpovídajícího termínu</w:t>
      </w:r>
      <w:r w:rsidRPr="00D93363">
        <w:t>:</w:t>
      </w:r>
    </w:p>
    <w:p w14:paraId="053B2AFA" w14:textId="77777777" w:rsidR="00D32EBF" w:rsidRPr="00D93363" w:rsidRDefault="00D32EBF" w:rsidP="00D32EBF">
      <w:pPr>
        <w:pStyle w:val="Textnormy"/>
      </w:pPr>
      <w:r w:rsidRPr="00D93363">
        <w:t>Jestliže v daném jazyce neexistuje odpovídající termín, je preferovaný termín nahrazen pěti tečkami, tj:</w:t>
      </w:r>
    </w:p>
    <w:p w14:paraId="49EC6E9E" w14:textId="77777777" w:rsidR="00D32EBF" w:rsidRPr="00D93363" w:rsidRDefault="00D32EBF" w:rsidP="00D32EBF">
      <w:pPr>
        <w:pStyle w:val="Textnormy"/>
      </w:pPr>
      <w:r w:rsidRPr="00D93363">
        <w:t xml:space="preserve">„ </w:t>
      </w:r>
      <w:r w:rsidRPr="00D93363">
        <w:rPr>
          <w:position w:val="6"/>
        </w:rPr>
        <w:t>…..</w:t>
      </w:r>
      <w:r w:rsidRPr="00D93363">
        <w:t xml:space="preserve"> “ (a samozřejmě tu nejsou synonyma).</w:t>
      </w:r>
    </w:p>
    <w:p w14:paraId="0E5C8D47" w14:textId="77777777" w:rsidR="00D32EBF" w:rsidRPr="00D93363" w:rsidRDefault="00D32EBF" w:rsidP="00D32EBF">
      <w:pPr>
        <w:pStyle w:val="Nadpislnku"/>
      </w:pPr>
      <w:r w:rsidRPr="00D93363">
        <w:t>Charakteristiky</w:t>
      </w:r>
    </w:p>
    <w:p w14:paraId="0FA48329" w14:textId="77777777" w:rsidR="00D32EBF" w:rsidRPr="00D93363" w:rsidRDefault="00D32EBF" w:rsidP="00D32EBF">
      <w:pPr>
        <w:pStyle w:val="Textnormy"/>
      </w:pPr>
      <w:r w:rsidRPr="00D93363">
        <w:t>Každý termín (</w:t>
      </w:r>
      <w:r>
        <w:t>a</w:t>
      </w:r>
      <w:r w:rsidRPr="00D93363">
        <w:t xml:space="preserve"> synonymum) může být doplněn charakteristikami uvádějícími doplňující informace. Tyto </w:t>
      </w:r>
      <w:r>
        <w:br/>
      </w:r>
      <w:r w:rsidRPr="00D93363">
        <w:t>charakteristiky jsou vytištěny netučným písmem za příslušným termínem, na stejném řádku jako tento termín.</w:t>
      </w:r>
    </w:p>
    <w:p w14:paraId="35486F5F" w14:textId="77777777" w:rsidR="00D32EBF" w:rsidRPr="00D93363" w:rsidRDefault="00D32EBF" w:rsidP="00D32EBF">
      <w:pPr>
        <w:pStyle w:val="Textnormy"/>
        <w:spacing w:before="60"/>
      </w:pPr>
      <w:r w:rsidRPr="00D93363">
        <w:t>PŘÍKLAD</w:t>
      </w:r>
    </w:p>
    <w:p w14:paraId="36E5612F" w14:textId="77777777" w:rsidR="00D32EBF" w:rsidRPr="00D93363" w:rsidRDefault="00D32EBF" w:rsidP="00D32EBF">
      <w:pPr>
        <w:pStyle w:val="Textnormy"/>
        <w:ind w:left="426"/>
        <w:rPr>
          <w:i/>
        </w:rPr>
      </w:pPr>
      <w:r w:rsidRPr="00D93363">
        <w:rPr>
          <w:i/>
        </w:rPr>
        <w:t>specifické použití termínu:</w:t>
      </w:r>
    </w:p>
    <w:p w14:paraId="18CE2177" w14:textId="77777777" w:rsidR="00D32EBF" w:rsidRPr="00D93363" w:rsidRDefault="00D32EBF" w:rsidP="00D32EBF">
      <w:pPr>
        <w:pStyle w:val="Textnormy"/>
        <w:ind w:left="851"/>
      </w:pPr>
      <w:r w:rsidRPr="00D93363">
        <w:rPr>
          <w:b/>
        </w:rPr>
        <w:t>přenosové vedení</w:t>
      </w:r>
      <w:r w:rsidRPr="00D93363">
        <w:t xml:space="preserve"> </w:t>
      </w:r>
      <w:r w:rsidRPr="00D93363">
        <w:sym w:font="Symbol" w:char="F03C"/>
      </w:r>
      <w:r w:rsidRPr="00D93363">
        <w:t>v elektrizačních soustavách</w:t>
      </w:r>
      <w:r w:rsidRPr="00D93363">
        <w:rPr>
          <w:rFonts w:cs="Arial"/>
        </w:rPr>
        <w:sym w:font="Symbol" w:char="F03E"/>
      </w:r>
    </w:p>
    <w:p w14:paraId="36E6A075" w14:textId="77777777" w:rsidR="00D32EBF" w:rsidRPr="00D93363" w:rsidRDefault="00D32EBF" w:rsidP="00D32EBF">
      <w:pPr>
        <w:pStyle w:val="Textnormy"/>
        <w:ind w:left="426"/>
        <w:rPr>
          <w:i/>
        </w:rPr>
      </w:pPr>
      <w:r w:rsidRPr="00D93363">
        <w:rPr>
          <w:i/>
        </w:rPr>
        <w:t>národní varianta:</w:t>
      </w:r>
    </w:p>
    <w:p w14:paraId="48A67442" w14:textId="77777777" w:rsidR="00D32EBF" w:rsidRPr="00D93363" w:rsidRDefault="00D32EBF" w:rsidP="00D32EBF">
      <w:pPr>
        <w:pStyle w:val="Textnormy"/>
        <w:ind w:left="851"/>
      </w:pPr>
      <w:r w:rsidRPr="00D93363">
        <w:rPr>
          <w:b/>
        </w:rPr>
        <w:t xml:space="preserve">lift, </w:t>
      </w:r>
      <w:r w:rsidRPr="00D93363">
        <w:t>GB (výtah)</w:t>
      </w:r>
    </w:p>
    <w:p w14:paraId="34C6D3F4" w14:textId="77777777" w:rsidR="00D32EBF" w:rsidRPr="00D93363" w:rsidRDefault="00D32EBF" w:rsidP="00D32EBF">
      <w:pPr>
        <w:pStyle w:val="Textnormy"/>
        <w:ind w:left="426"/>
        <w:rPr>
          <w:i/>
        </w:rPr>
      </w:pPr>
      <w:r w:rsidRPr="00D93363">
        <w:rPr>
          <w:i/>
        </w:rPr>
        <w:t>gramatické informace:</w:t>
      </w:r>
    </w:p>
    <w:p w14:paraId="4ABE1886" w14:textId="77777777" w:rsidR="00D32EBF" w:rsidRPr="00D93363" w:rsidRDefault="00D32EBF" w:rsidP="00D32EBF">
      <w:pPr>
        <w:pStyle w:val="Textnormy"/>
        <w:ind w:left="851"/>
      </w:pPr>
      <w:r w:rsidRPr="00957938">
        <w:rPr>
          <w:rFonts w:cs="Arial"/>
          <w:b/>
          <w:bCs/>
        </w:rPr>
        <w:t>quantize</w:t>
      </w:r>
      <w:r w:rsidRPr="00D93363">
        <w:t>, verb (kvantovat)</w:t>
      </w:r>
    </w:p>
    <w:p w14:paraId="79BFA132" w14:textId="77777777" w:rsidR="00D32EBF" w:rsidRPr="00D93363" w:rsidRDefault="00D32EBF" w:rsidP="00D32EBF">
      <w:pPr>
        <w:pStyle w:val="Textnormy"/>
        <w:ind w:left="851"/>
      </w:pPr>
      <w:r w:rsidRPr="00D93363">
        <w:rPr>
          <w:b/>
        </w:rPr>
        <w:t>transient</w:t>
      </w:r>
      <w:r w:rsidRPr="00D93363">
        <w:t>, noun (přechodný proces; přechodný jev)</w:t>
      </w:r>
    </w:p>
    <w:p w14:paraId="4797F72C" w14:textId="77777777" w:rsidR="00D32EBF" w:rsidRPr="00D93363" w:rsidRDefault="00D32EBF" w:rsidP="00D32EBF">
      <w:pPr>
        <w:pStyle w:val="Textnormy"/>
        <w:ind w:left="851"/>
      </w:pPr>
      <w:r w:rsidRPr="00D93363">
        <w:rPr>
          <w:b/>
        </w:rPr>
        <w:t>AC,</w:t>
      </w:r>
      <w:r w:rsidRPr="00D93363">
        <w:t xml:space="preserve"> adj (střídavý (proud))</w:t>
      </w:r>
    </w:p>
    <w:p w14:paraId="1F125674" w14:textId="77777777" w:rsidR="004307ED" w:rsidRPr="0043664C" w:rsidRDefault="004307ED" w:rsidP="004307ED">
      <w:pPr>
        <w:pStyle w:val="Nadpislnku"/>
      </w:pPr>
      <w:bookmarkStart w:id="65" w:name="_Hlk193361060"/>
      <w:r w:rsidRPr="0043664C">
        <w:t>Definice</w:t>
      </w:r>
    </w:p>
    <w:p w14:paraId="1D8B52DF" w14:textId="77777777" w:rsidR="004307ED" w:rsidRPr="0043664C" w:rsidRDefault="004307ED" w:rsidP="004307ED">
      <w:pPr>
        <w:pStyle w:val="Textnormy"/>
      </w:pPr>
      <w:r w:rsidRPr="0043664C">
        <w:t>Definice musí obsahovat všechny charakteristiky pojmu, které jsou nezbytné a dostačující k tomu, aby bylo možné daný pojem správně pochopit a odlišit ho od ostatních pojmů.</w:t>
      </w:r>
    </w:p>
    <w:p w14:paraId="04F6E75E" w14:textId="77777777" w:rsidR="004307ED" w:rsidRPr="0043664C" w:rsidRDefault="004307ED" w:rsidP="004307ED">
      <w:pPr>
        <w:pStyle w:val="Textnormy"/>
        <w:spacing w:before="60"/>
      </w:pPr>
      <w:r w:rsidRPr="0043664C">
        <w:t>PŘÍKLAD</w:t>
      </w:r>
    </w:p>
    <w:p w14:paraId="0F16B706" w14:textId="77777777" w:rsidR="004307ED" w:rsidRPr="0043664C" w:rsidRDefault="004307ED" w:rsidP="004307ED">
      <w:pPr>
        <w:pStyle w:val="Textnormy"/>
        <w:ind w:left="426"/>
        <w:rPr>
          <w:iCs/>
        </w:rPr>
      </w:pPr>
      <w:r w:rsidRPr="0043664C">
        <w:rPr>
          <w:iCs/>
        </w:rPr>
        <w:t>131-11-19</w:t>
      </w:r>
    </w:p>
    <w:p w14:paraId="75782BA8" w14:textId="77777777" w:rsidR="004307ED" w:rsidRPr="0043664C" w:rsidRDefault="004307ED" w:rsidP="004307ED">
      <w:pPr>
        <w:pStyle w:val="Textnormy"/>
        <w:ind w:left="426"/>
        <w:rPr>
          <w:b/>
          <w:bCs/>
          <w:iCs/>
        </w:rPr>
      </w:pPr>
      <w:r w:rsidRPr="0043664C">
        <w:rPr>
          <w:b/>
          <w:bCs/>
          <w:iCs/>
        </w:rPr>
        <w:t>nelineární</w:t>
      </w:r>
    </w:p>
    <w:p w14:paraId="1E2FBB01" w14:textId="77777777" w:rsidR="004307ED" w:rsidRPr="0043664C" w:rsidRDefault="004307ED" w:rsidP="004307ED">
      <w:pPr>
        <w:pStyle w:val="Textnormy"/>
        <w:spacing w:after="240"/>
        <w:ind w:left="425"/>
      </w:pPr>
      <w:r w:rsidRPr="0043664C">
        <w:t>blíže určuje prvek obvodu nebo obvod, u něhož nejsou všechny vztahy mezi integrálními veličinami lineární</w:t>
      </w:r>
    </w:p>
    <w:p w14:paraId="2825C94A" w14:textId="77777777" w:rsidR="004307ED" w:rsidRPr="0043664C" w:rsidRDefault="004307ED" w:rsidP="004307ED">
      <w:pPr>
        <w:pStyle w:val="Textnormy"/>
        <w:spacing w:before="120"/>
        <w:ind w:left="425"/>
      </w:pPr>
      <w:r w:rsidRPr="0043664C">
        <w:rPr>
          <w:b/>
          <w:bCs/>
        </w:rPr>
        <w:t>non-linear</w:t>
      </w:r>
      <w:r w:rsidRPr="0043664C">
        <w:t>, adj</w:t>
      </w:r>
    </w:p>
    <w:p w14:paraId="4CA7F100" w14:textId="77777777" w:rsidR="004307ED" w:rsidRPr="0043664C" w:rsidRDefault="004307ED" w:rsidP="004307ED">
      <w:pPr>
        <w:pStyle w:val="Textnormy"/>
        <w:ind w:left="426"/>
      </w:pPr>
      <w:r w:rsidRPr="0043664C">
        <w:t>qualifies a circuit element or a circuit for which not all relations between the integral</w:t>
      </w:r>
      <w:r>
        <w:t xml:space="preserve"> </w:t>
      </w:r>
      <w:r w:rsidRPr="0043664C">
        <w:t>quantities are linear</w:t>
      </w:r>
    </w:p>
    <w:bookmarkEnd w:id="65"/>
    <w:p w14:paraId="2BF21E24" w14:textId="2258EA74" w:rsidR="00D32EBF" w:rsidRPr="00D93363" w:rsidRDefault="00D32EBF" w:rsidP="00D32EBF">
      <w:pPr>
        <w:pStyle w:val="Nadpislnku"/>
      </w:pPr>
      <w:r w:rsidRPr="00D93363">
        <w:t>Zdroj</w:t>
      </w:r>
    </w:p>
    <w:p w14:paraId="027B05AD" w14:textId="77777777" w:rsidR="00D32EBF" w:rsidRPr="00D93363" w:rsidRDefault="00D32EBF" w:rsidP="00D32EBF">
      <w:pPr>
        <w:pStyle w:val="Textnormy"/>
      </w:pPr>
      <w:r w:rsidRPr="00D93363">
        <w:t>V některých případech je nezbytné zařadit do určité části IEV pojem převzatý z jiné části IEV nebo z jiného uznávaného terminologického dokumentu (Pokyn ISO/IEC 99, ISO/IEC 2382 atd.), buď s modifikací definice (a popřípadě termínu), nebo bez ní.</w:t>
      </w:r>
    </w:p>
    <w:p w14:paraId="449572F9" w14:textId="77777777" w:rsidR="00D32EBF" w:rsidRPr="00D93363" w:rsidRDefault="00D32EBF" w:rsidP="00D32EBF">
      <w:pPr>
        <w:pStyle w:val="Textnormy"/>
      </w:pPr>
      <w:r w:rsidRPr="00D93363">
        <w:t xml:space="preserve">To je vyjádřeno uvedením zdroje. Tato informace je vytištěna netučným písmem a je uvedena na konci </w:t>
      </w:r>
      <w:r>
        <w:t xml:space="preserve">terminologického </w:t>
      </w:r>
      <w:r w:rsidRPr="00D93363">
        <w:t>hesla v každém z uvedených základních jazyků IEV.</w:t>
      </w:r>
    </w:p>
    <w:p w14:paraId="34688BFB" w14:textId="77777777" w:rsidR="00D32EBF" w:rsidRPr="00D93363" w:rsidRDefault="00D32EBF" w:rsidP="00D32EBF">
      <w:pPr>
        <w:pStyle w:val="Textnormy"/>
      </w:pPr>
      <w:r w:rsidRPr="00D93363">
        <w:t xml:space="preserve">PŘÍKLAD: </w:t>
      </w:r>
      <w:r w:rsidRPr="00D93363">
        <w:rPr>
          <w:rFonts w:cs="Arial"/>
        </w:rPr>
        <w:t>[</w:t>
      </w:r>
      <w:r w:rsidRPr="00D93363">
        <w:t>ZDROJ: IEC 60050-131:20</w:t>
      </w:r>
      <w:r>
        <w:t>0</w:t>
      </w:r>
      <w:r w:rsidRPr="00D93363">
        <w:t>2, 131-03-13, modifikováno</w:t>
      </w:r>
      <w:r w:rsidRPr="00D93363">
        <w:rPr>
          <w:rFonts w:cs="Arial"/>
        </w:rPr>
        <w:t>]</w:t>
      </w:r>
    </w:p>
    <w:p w14:paraId="29CEFEA4" w14:textId="77777777" w:rsidR="00D32EBF" w:rsidRPr="00D93363" w:rsidRDefault="00D32EBF" w:rsidP="00D32EBF">
      <w:pPr>
        <w:pStyle w:val="Nadpislnku"/>
      </w:pPr>
      <w:r w:rsidRPr="00D93363">
        <w:lastRenderedPageBreak/>
        <w:t>Termíny v doplňkových jazycích IEV</w:t>
      </w:r>
      <w:r>
        <w:rPr>
          <w:rStyle w:val="Znakapoznpodarou"/>
        </w:rPr>
        <w:footnoteReference w:customMarkFollows="1" w:id="3"/>
        <w:t>NP3)</w:t>
      </w:r>
    </w:p>
    <w:p w14:paraId="050BA6FC" w14:textId="77777777" w:rsidR="00D32EBF" w:rsidRPr="00D93363" w:rsidRDefault="00D32EBF" w:rsidP="00D32EBF">
      <w:pPr>
        <w:pStyle w:val="Textnormy"/>
      </w:pPr>
      <w:r w:rsidRPr="00D93363">
        <w:t xml:space="preserve">Tyto termíny následují za </w:t>
      </w:r>
      <w:r>
        <w:t xml:space="preserve">terminologickými </w:t>
      </w:r>
      <w:r w:rsidRPr="00D93363">
        <w:t>hesly v základních jazycích IEV, na samostatných řádcích, předchází jim dvoupísmenný kód (Alpha-2 code) stanovený v ISO 639-1 pro daný jazyk a jsou uspořádány abecedně podle tohoto kódu.</w:t>
      </w:r>
    </w:p>
    <w:p w14:paraId="2B11B703" w14:textId="77777777" w:rsidR="00D32EBF" w:rsidRPr="00F73CD1" w:rsidRDefault="00D32EBF" w:rsidP="00D32EBF">
      <w:pPr>
        <w:pStyle w:val="Nadpis1"/>
        <w:pageBreakBefore/>
        <w:spacing w:before="0"/>
      </w:pPr>
      <w:bookmarkStart w:id="66" w:name="_Toc88329526"/>
      <w:bookmarkStart w:id="67" w:name="_Toc99963432"/>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r>
        <w:lastRenderedPageBreak/>
        <w:t>1</w:t>
      </w:r>
      <w:r>
        <w:t> </w:t>
      </w:r>
      <w:r w:rsidRPr="00F73CD1">
        <w:t>Rozsah platnosti</w:t>
      </w:r>
      <w:bookmarkEnd w:id="66"/>
      <w:bookmarkEnd w:id="67"/>
    </w:p>
    <w:p w14:paraId="61A6C109" w14:textId="77777777" w:rsidR="00D32EBF" w:rsidRPr="00D93363" w:rsidRDefault="00D32EBF" w:rsidP="00D32EBF">
      <w:pPr>
        <w:pStyle w:val="Textnormy"/>
      </w:pPr>
      <w:r w:rsidRPr="0034530D">
        <w:t>Tato část IEC 60050 uvádí základní pojmy a definice týkající se uzemnění a ochrany před úrazem elektrickým proudem. Toto nové vydání reviduje a doplňuje předchozí vydání.</w:t>
      </w:r>
      <w:r>
        <w:t xml:space="preserve"> </w:t>
      </w:r>
      <w:r w:rsidRPr="00606CFD">
        <w:t xml:space="preserve">Má status </w:t>
      </w:r>
      <w:r>
        <w:t>horizontální</w:t>
      </w:r>
      <w:r w:rsidRPr="00606CFD">
        <w:t xml:space="preserve"> normy v</w:t>
      </w:r>
      <w:r>
        <w:t> </w:t>
      </w:r>
      <w:r w:rsidRPr="00606CFD">
        <w:t>souladu</w:t>
      </w:r>
      <w:r>
        <w:br/>
      </w:r>
      <w:r w:rsidRPr="00606CFD">
        <w:t>s Pokynem IEC 1</w:t>
      </w:r>
      <w:r>
        <w:t xml:space="preserve">08 </w:t>
      </w:r>
      <w:r w:rsidRPr="00D93363">
        <w:rPr>
          <w:i/>
        </w:rPr>
        <w:t>Směrnice pro zajištění konzistentnosti (vzájemného souladu) publikací IEC – Použití horizontálních norem</w:t>
      </w:r>
      <w:r w:rsidRPr="00D93363">
        <w:t>.</w:t>
      </w:r>
    </w:p>
    <w:p w14:paraId="55485308" w14:textId="77777777" w:rsidR="00D32EBF" w:rsidRPr="00D93363" w:rsidRDefault="00D32EBF" w:rsidP="00D32EBF">
      <w:pPr>
        <w:pStyle w:val="Textnormy"/>
      </w:pPr>
      <w:r w:rsidRPr="00D93363">
        <w:t>Tato terminologie je konzistentní s terminologií zpracovanou v ostatních odborných částech IEV.</w:t>
      </w:r>
    </w:p>
    <w:p w14:paraId="52A62ECD" w14:textId="77777777" w:rsidR="00D32EBF" w:rsidRPr="00D93363" w:rsidRDefault="00D32EBF" w:rsidP="00D32EBF">
      <w:pPr>
        <w:pStyle w:val="Textnormy"/>
      </w:pPr>
      <w:r w:rsidRPr="00D93363">
        <w:t>Tato horizontální norma je primárně určena technickým komisím pro přípravu norem v souladu s principy stanovenými v Pokynu IEC 108.</w:t>
      </w:r>
    </w:p>
    <w:p w14:paraId="4C5E4098" w14:textId="77777777" w:rsidR="00D32EBF" w:rsidRDefault="00D32EBF" w:rsidP="00D32EBF">
      <w:pPr>
        <w:pStyle w:val="Textnormy"/>
      </w:pPr>
      <w:r w:rsidRPr="00D93363">
        <w:t>Jednou z odpovědností technické komise je používat při tvorbě svých publikací horizontální normy všude tam, kde je to vhodné.</w:t>
      </w:r>
    </w:p>
    <w:p w14:paraId="506E3646" w14:textId="22A75075" w:rsidR="004133C3" w:rsidRPr="00D93363" w:rsidRDefault="004133C3" w:rsidP="00D32EBF">
      <w:pPr>
        <w:pStyle w:val="Textnormy"/>
      </w:pPr>
      <w:r w:rsidRPr="00173FFB">
        <w:t xml:space="preserve">U dokumentů převzatých z Electropedie se v etapě jejich zveřejnění přesune nadpis kapitoly 3 na stranu 1 </w:t>
      </w:r>
      <w:r w:rsidR="00501A51">
        <w:t xml:space="preserve">normy IEC </w:t>
      </w:r>
      <w:r w:rsidRPr="00173FFB">
        <w:t>a</w:t>
      </w:r>
      <w:r>
        <w:t> </w:t>
      </w:r>
      <w:r w:rsidRPr="00173FFB">
        <w:t>připojí se dále uvedený jednotný text.</w:t>
      </w:r>
      <w:r>
        <w:t xml:space="preserve"> </w:t>
      </w:r>
      <w:r w:rsidRPr="00AC0FA5">
        <w:rPr>
          <w:i/>
          <w:highlight w:val="yellow"/>
        </w:rPr>
        <w:t>(Uvádí se</w:t>
      </w:r>
      <w:r w:rsidRPr="00350E80">
        <w:rPr>
          <w:i/>
          <w:highlight w:val="yellow"/>
        </w:rPr>
        <w:t>,</w:t>
      </w:r>
      <w:r>
        <w:rPr>
          <w:i/>
          <w:highlight w:val="yellow"/>
        </w:rPr>
        <w:t xml:space="preserve"> </w:t>
      </w:r>
      <w:r w:rsidRPr="00350E80">
        <w:rPr>
          <w:i/>
          <w:highlight w:val="yellow"/>
        </w:rPr>
        <w:t xml:space="preserve">je-li </w:t>
      </w:r>
      <w:r>
        <w:rPr>
          <w:i/>
          <w:highlight w:val="yellow"/>
        </w:rPr>
        <w:t>uvedeno ve zdrojovém dokumentu.</w:t>
      </w:r>
      <w:r w:rsidRPr="00350E80">
        <w:rPr>
          <w:i/>
          <w:highlight w:val="yellow"/>
        </w:rPr>
        <w:t>)</w:t>
      </w:r>
    </w:p>
    <w:p w14:paraId="56E0E40E" w14:textId="77777777" w:rsidR="00D32EBF" w:rsidRPr="00D93363" w:rsidRDefault="00D32EBF" w:rsidP="00D32EBF">
      <w:pPr>
        <w:pStyle w:val="Nadpis1"/>
      </w:pPr>
      <w:bookmarkStart w:id="68" w:name="_Toc359251365"/>
      <w:bookmarkStart w:id="69" w:name="_Toc359251523"/>
      <w:bookmarkStart w:id="70" w:name="_Toc359251683"/>
      <w:bookmarkStart w:id="71" w:name="_Toc359251940"/>
      <w:bookmarkStart w:id="72" w:name="_Toc359252129"/>
      <w:bookmarkStart w:id="73" w:name="_Toc359252244"/>
      <w:bookmarkStart w:id="74" w:name="_Toc359252487"/>
      <w:bookmarkStart w:id="75" w:name="_Toc359252727"/>
      <w:bookmarkStart w:id="76" w:name="_Toc359252848"/>
      <w:bookmarkStart w:id="77" w:name="_Toc359252922"/>
      <w:bookmarkStart w:id="78" w:name="_Toc359283648"/>
      <w:bookmarkStart w:id="79" w:name="_Toc365965548"/>
      <w:bookmarkStart w:id="80" w:name="_Toc365967315"/>
      <w:bookmarkStart w:id="81" w:name="_Toc365968762"/>
      <w:bookmarkStart w:id="82" w:name="_Toc367082927"/>
      <w:bookmarkStart w:id="83" w:name="_Toc372429542"/>
      <w:bookmarkStart w:id="84" w:name="_Toc375302776"/>
      <w:bookmarkStart w:id="85" w:name="_Toc379098933"/>
      <w:bookmarkStart w:id="86" w:name="_Toc380735106"/>
      <w:bookmarkStart w:id="87" w:name="_Toc380735206"/>
      <w:bookmarkStart w:id="88" w:name="_Toc380825390"/>
      <w:bookmarkStart w:id="89" w:name="_Toc380827279"/>
      <w:bookmarkStart w:id="90" w:name="_Toc380886225"/>
      <w:bookmarkStart w:id="91" w:name="_Toc380886263"/>
      <w:bookmarkStart w:id="92" w:name="_Toc380886373"/>
      <w:bookmarkStart w:id="93" w:name="_Toc380886470"/>
      <w:bookmarkStart w:id="94" w:name="_Toc4487161"/>
      <w:bookmarkStart w:id="95" w:name="_Toc4487253"/>
      <w:bookmarkStart w:id="96" w:name="_Toc88329527"/>
      <w:bookmarkStart w:id="97" w:name="_Toc99963433"/>
      <w:r>
        <w:t>2</w:t>
      </w:r>
      <w:r>
        <w:t> </w:t>
      </w:r>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t>Citované dokumenty</w:t>
      </w:r>
      <w:bookmarkEnd w:id="96"/>
      <w:bookmarkEnd w:id="97"/>
    </w:p>
    <w:p w14:paraId="0C99C8F4" w14:textId="77777777" w:rsidR="00D32EBF" w:rsidRPr="0034530D" w:rsidRDefault="00D32EBF" w:rsidP="00A76402">
      <w:pPr>
        <w:pStyle w:val="Textnormy"/>
      </w:pPr>
      <w:r w:rsidRPr="0034530D">
        <w:t xml:space="preserve">V tomto dokumentu nejsou žádné </w:t>
      </w:r>
      <w:r>
        <w:t>citované dokumenty</w:t>
      </w:r>
      <w:r w:rsidRPr="0034530D">
        <w:t>.</w:t>
      </w:r>
    </w:p>
    <w:p w14:paraId="02BEE048" w14:textId="77777777" w:rsidR="00D32EBF" w:rsidRPr="00D93363" w:rsidRDefault="00D32EBF" w:rsidP="00D32EBF">
      <w:pPr>
        <w:pStyle w:val="Nadpis1"/>
      </w:pPr>
      <w:bookmarkStart w:id="98" w:name="_Toc88329528"/>
      <w:bookmarkStart w:id="99" w:name="_Toc99963434"/>
      <w:r>
        <w:t>3</w:t>
      </w:r>
      <w:r>
        <w:t> </w:t>
      </w:r>
      <w:r w:rsidRPr="00D93363">
        <w:t>Termíny a definice</w:t>
      </w:r>
      <w:bookmarkEnd w:id="98"/>
      <w:bookmarkEnd w:id="99"/>
    </w:p>
    <w:p w14:paraId="6FAEE100" w14:textId="77777777" w:rsidR="00D32EBF" w:rsidRPr="00D93363" w:rsidRDefault="00D32EBF" w:rsidP="00D32EBF">
      <w:pPr>
        <w:pStyle w:val="Textnormy"/>
      </w:pPr>
      <w:r w:rsidRPr="00D93363">
        <w:t>Termíny a definice obsažené v této části IEC 60050 byly vybrány z Elektropedie (</w:t>
      </w:r>
      <w:hyperlink r:id="rId19" w:history="1">
        <w:r w:rsidRPr="00D93363">
          <w:rPr>
            <w:rStyle w:val="Hypertextovodkaz"/>
            <w:color w:val="000000"/>
          </w:rPr>
          <w:t>www.electopedia.org</w:t>
        </w:r>
      </w:hyperlink>
      <w:r w:rsidRPr="00D93363">
        <w:t>) (označované také jako „IEV Online“) – nejobsáhlejší online terminologické databáze na světě zahrnující oblast elektrotechniky, elektroniky a telekomunikací.</w:t>
      </w:r>
    </w:p>
    <w:p w14:paraId="22FABBB5" w14:textId="77777777" w:rsidR="00D32EBF" w:rsidRPr="00D93363" w:rsidRDefault="00D32EBF" w:rsidP="00D32EBF">
      <w:pPr>
        <w:pStyle w:val="Textnormy"/>
      </w:pPr>
    </w:p>
    <w:p w14:paraId="07FFDF28" w14:textId="77777777" w:rsidR="00D32EBF" w:rsidRPr="00F73CD1" w:rsidRDefault="00D32EBF" w:rsidP="00D32EBF">
      <w:pPr>
        <w:pStyle w:val="Nadpis1"/>
        <w:pageBreakBefore/>
        <w:spacing w:before="0"/>
        <w:jc w:val="center"/>
      </w:pPr>
      <w:bookmarkStart w:id="100" w:name="_Toc521487381"/>
      <w:bookmarkStart w:id="101" w:name="_Toc88329529"/>
      <w:bookmarkStart w:id="102" w:name="_Toc99963435"/>
      <w:r>
        <w:lastRenderedPageBreak/>
        <w:t xml:space="preserve">Oddíl 195-01 – </w:t>
      </w:r>
      <w:bookmarkEnd w:id="100"/>
      <w:r>
        <w:t>Základní termíny</w:t>
      </w:r>
      <w:bookmarkEnd w:id="101"/>
      <w:bookmarkEnd w:id="102"/>
    </w:p>
    <w:p w14:paraId="7E20B12F" w14:textId="77777777" w:rsidR="00D32EBF" w:rsidRDefault="00D32EBF" w:rsidP="00D32EBF">
      <w:pPr>
        <w:pStyle w:val="Textnormy"/>
        <w:rPr>
          <w:rFonts w:ascii="Times New Roman" w:hAnsi="Times New Roman"/>
          <w:b/>
          <w:bCs/>
          <w:sz w:val="23"/>
          <w:szCs w:val="23"/>
        </w:rPr>
      </w:pPr>
      <w:r w:rsidRPr="00FA505B">
        <w:rPr>
          <w:b/>
        </w:rPr>
        <w:t>195-01-01</w:t>
      </w:r>
      <w:r>
        <w:rPr>
          <w:b/>
        </w:rPr>
        <w:br/>
        <w:t>referenční zem</w:t>
      </w:r>
      <w:r>
        <w:rPr>
          <w:b/>
        </w:rPr>
        <w:tab/>
      </w:r>
      <w:r>
        <w:rPr>
          <w:b/>
        </w:rPr>
        <w:br/>
      </w:r>
      <w:r>
        <w:t xml:space="preserve">část Země považovaná za vodivou, jejíž elektrický potenciál se podle úmluvy považuje za nulový a která je mimo zónu vlivu jakéhokoli </w:t>
      </w:r>
      <w:hyperlink r:id="rId20" w:history="1">
        <w:r w:rsidRPr="00F72008">
          <w:rPr>
            <w:rStyle w:val="Hypertextovodkaz"/>
          </w:rPr>
          <w:t>uzemnění</w:t>
        </w:r>
      </w:hyperlink>
    </w:p>
    <w:p w14:paraId="473A45FE" w14:textId="77777777" w:rsidR="00D32EBF" w:rsidRDefault="00D32EBF" w:rsidP="00D32EBF">
      <w:pPr>
        <w:pStyle w:val="Poznmka"/>
        <w:rPr>
          <w:rFonts w:ascii="Times New Roman" w:hAnsi="Times New Roman"/>
          <w:b/>
          <w:bCs/>
          <w:sz w:val="23"/>
          <w:szCs w:val="23"/>
        </w:rPr>
      </w:pPr>
      <w:r>
        <w:t>POZNÁMKA 1 k heslu</w:t>
      </w:r>
      <w:r>
        <w:t> </w:t>
      </w:r>
      <w:r>
        <w:t>Pojem „Země“ znamená planetu se všemi jejími fyzikálními látkami.</w:t>
      </w:r>
    </w:p>
    <w:p w14:paraId="219C0D19" w14:textId="77777777" w:rsidR="00D32EBF" w:rsidRPr="0069484D" w:rsidRDefault="00D32EBF" w:rsidP="0058308D">
      <w:pPr>
        <w:pStyle w:val="Textnormy"/>
        <w:spacing w:before="240"/>
        <w:rPr>
          <w:rFonts w:cs="Arial"/>
        </w:rPr>
      </w:pPr>
      <w:r w:rsidRPr="0069484D">
        <w:rPr>
          <w:rFonts w:cs="Arial"/>
          <w:b/>
          <w:bCs/>
          <w:spacing w:val="-1"/>
        </w:rPr>
        <w:t>reference</w:t>
      </w:r>
      <w:r w:rsidRPr="0069484D">
        <w:rPr>
          <w:rFonts w:cs="Arial"/>
          <w:b/>
          <w:bCs/>
          <w:spacing w:val="-15"/>
        </w:rPr>
        <w:t xml:space="preserve"> </w:t>
      </w:r>
      <w:r w:rsidRPr="0069484D">
        <w:rPr>
          <w:rFonts w:cs="Arial"/>
          <w:b/>
          <w:bCs/>
        </w:rPr>
        <w:t>earth</w:t>
      </w:r>
      <w:r w:rsidRPr="0069484D">
        <w:rPr>
          <w:rFonts w:cs="Arial"/>
          <w:b/>
          <w:bCs/>
          <w:spacing w:val="22"/>
          <w:w w:val="99"/>
        </w:rPr>
        <w:t xml:space="preserve"> </w:t>
      </w:r>
      <w:r w:rsidRPr="0069484D">
        <w:rPr>
          <w:rFonts w:cs="Arial"/>
          <w:b/>
          <w:bCs/>
          <w:spacing w:val="22"/>
          <w:w w:val="99"/>
        </w:rPr>
        <w:tab/>
      </w:r>
      <w:r w:rsidRPr="0069484D">
        <w:rPr>
          <w:rFonts w:cs="Arial"/>
          <w:b/>
          <w:bCs/>
          <w:spacing w:val="22"/>
          <w:w w:val="99"/>
        </w:rPr>
        <w:br/>
      </w:r>
      <w:r w:rsidRPr="0069484D">
        <w:rPr>
          <w:rFonts w:cs="Arial"/>
          <w:b/>
          <w:bCs/>
          <w:spacing w:val="-1"/>
        </w:rPr>
        <w:t>reference</w:t>
      </w:r>
      <w:r w:rsidRPr="0069484D">
        <w:rPr>
          <w:rFonts w:cs="Arial"/>
          <w:b/>
          <w:bCs/>
          <w:spacing w:val="-7"/>
        </w:rPr>
        <w:t xml:space="preserve"> </w:t>
      </w:r>
      <w:r w:rsidRPr="0069484D">
        <w:rPr>
          <w:rFonts w:cs="Arial"/>
          <w:b/>
          <w:bCs/>
          <w:spacing w:val="-1"/>
        </w:rPr>
        <w:t>ground</w:t>
      </w:r>
      <w:r w:rsidRPr="0069484D">
        <w:rPr>
          <w:rFonts w:cs="Arial"/>
          <w:spacing w:val="-1"/>
        </w:rPr>
        <w:t>,</w:t>
      </w:r>
      <w:r w:rsidRPr="0069484D">
        <w:rPr>
          <w:rFonts w:cs="Arial"/>
          <w:spacing w:val="-6"/>
        </w:rPr>
        <w:t xml:space="preserve"> </w:t>
      </w:r>
      <w:r w:rsidRPr="0069484D">
        <w:rPr>
          <w:rFonts w:cs="Arial"/>
        </w:rPr>
        <w:t>US</w:t>
      </w:r>
      <w:r w:rsidRPr="0069484D">
        <w:rPr>
          <w:rFonts w:cs="Arial"/>
        </w:rPr>
        <w:tab/>
      </w:r>
      <w:r w:rsidRPr="0069484D">
        <w:rPr>
          <w:rFonts w:cs="Arial"/>
        </w:rPr>
        <w:br/>
        <w:t>part</w:t>
      </w:r>
      <w:r w:rsidRPr="0069484D">
        <w:rPr>
          <w:rFonts w:cs="Arial"/>
          <w:spacing w:val="-6"/>
        </w:rPr>
        <w:t xml:space="preserve"> </w:t>
      </w:r>
      <w:r w:rsidRPr="0069484D">
        <w:rPr>
          <w:rFonts w:cs="Arial"/>
        </w:rPr>
        <w:t>of</w:t>
      </w:r>
      <w:r w:rsidRPr="0069484D">
        <w:rPr>
          <w:rFonts w:cs="Arial"/>
          <w:spacing w:val="-6"/>
        </w:rPr>
        <w:t xml:space="preserve"> </w:t>
      </w:r>
      <w:r w:rsidRPr="0069484D">
        <w:rPr>
          <w:rFonts w:cs="Arial"/>
        </w:rPr>
        <w:t>the</w:t>
      </w:r>
      <w:r w:rsidRPr="0069484D">
        <w:rPr>
          <w:rFonts w:cs="Arial"/>
          <w:spacing w:val="-6"/>
        </w:rPr>
        <w:t xml:space="preserve"> </w:t>
      </w:r>
      <w:r w:rsidRPr="0069484D">
        <w:rPr>
          <w:rFonts w:cs="Arial"/>
        </w:rPr>
        <w:t>Earth</w:t>
      </w:r>
      <w:r w:rsidRPr="0069484D">
        <w:rPr>
          <w:rFonts w:cs="Arial"/>
          <w:spacing w:val="-6"/>
        </w:rPr>
        <w:t xml:space="preserve"> </w:t>
      </w:r>
      <w:r w:rsidRPr="0069484D">
        <w:rPr>
          <w:rFonts w:cs="Arial"/>
        </w:rPr>
        <w:t>considered</w:t>
      </w:r>
      <w:r w:rsidRPr="0069484D">
        <w:rPr>
          <w:rFonts w:cs="Arial"/>
          <w:spacing w:val="-5"/>
        </w:rPr>
        <w:t xml:space="preserve"> </w:t>
      </w:r>
      <w:r w:rsidRPr="0069484D">
        <w:rPr>
          <w:rFonts w:cs="Arial"/>
        </w:rPr>
        <w:t>as</w:t>
      </w:r>
      <w:r w:rsidRPr="0069484D">
        <w:rPr>
          <w:rFonts w:cs="Arial"/>
          <w:spacing w:val="-6"/>
        </w:rPr>
        <w:t xml:space="preserve"> </w:t>
      </w:r>
      <w:r w:rsidRPr="0069484D">
        <w:rPr>
          <w:rFonts w:cs="Arial"/>
        </w:rPr>
        <w:t>conductive,</w:t>
      </w:r>
      <w:r w:rsidRPr="0069484D">
        <w:rPr>
          <w:rFonts w:cs="Arial"/>
          <w:spacing w:val="-6"/>
        </w:rPr>
        <w:t xml:space="preserve"> </w:t>
      </w:r>
      <w:r w:rsidRPr="0069484D">
        <w:rPr>
          <w:rFonts w:cs="Arial"/>
        </w:rPr>
        <w:t>the</w:t>
      </w:r>
      <w:r w:rsidRPr="0069484D">
        <w:rPr>
          <w:rFonts w:cs="Arial"/>
          <w:spacing w:val="-6"/>
        </w:rPr>
        <w:t xml:space="preserve"> </w:t>
      </w:r>
      <w:r w:rsidRPr="0069484D">
        <w:rPr>
          <w:rFonts w:cs="Arial"/>
        </w:rPr>
        <w:t>electric</w:t>
      </w:r>
      <w:r w:rsidRPr="0069484D">
        <w:rPr>
          <w:rFonts w:cs="Arial"/>
          <w:spacing w:val="-6"/>
        </w:rPr>
        <w:t xml:space="preserve"> </w:t>
      </w:r>
      <w:r w:rsidRPr="0069484D">
        <w:rPr>
          <w:rFonts w:cs="Arial"/>
        </w:rPr>
        <w:t>potential</w:t>
      </w:r>
      <w:r w:rsidRPr="0069484D">
        <w:rPr>
          <w:rFonts w:cs="Arial"/>
          <w:spacing w:val="-5"/>
        </w:rPr>
        <w:t xml:space="preserve"> </w:t>
      </w:r>
      <w:r w:rsidRPr="0069484D">
        <w:rPr>
          <w:rFonts w:cs="Arial"/>
        </w:rPr>
        <w:t>of</w:t>
      </w:r>
      <w:r w:rsidRPr="0069484D">
        <w:rPr>
          <w:rFonts w:cs="Arial"/>
          <w:spacing w:val="-6"/>
        </w:rPr>
        <w:t xml:space="preserve"> </w:t>
      </w:r>
      <w:r w:rsidRPr="0069484D">
        <w:rPr>
          <w:rFonts w:cs="Arial"/>
        </w:rPr>
        <w:t>which</w:t>
      </w:r>
      <w:r w:rsidRPr="0069484D">
        <w:rPr>
          <w:rFonts w:cs="Arial"/>
          <w:spacing w:val="-6"/>
        </w:rPr>
        <w:t xml:space="preserve"> </w:t>
      </w:r>
      <w:r w:rsidRPr="0069484D">
        <w:rPr>
          <w:rFonts w:cs="Arial"/>
        </w:rPr>
        <w:t>is</w:t>
      </w:r>
      <w:r w:rsidRPr="0069484D">
        <w:rPr>
          <w:rFonts w:cs="Arial"/>
          <w:spacing w:val="-6"/>
        </w:rPr>
        <w:t xml:space="preserve"> </w:t>
      </w:r>
      <w:r w:rsidRPr="0069484D">
        <w:rPr>
          <w:rFonts w:cs="Arial"/>
        </w:rPr>
        <w:t>conventionally</w:t>
      </w:r>
      <w:r w:rsidRPr="0069484D">
        <w:rPr>
          <w:rFonts w:cs="Arial"/>
          <w:spacing w:val="-5"/>
        </w:rPr>
        <w:t xml:space="preserve"> </w:t>
      </w:r>
      <w:r w:rsidRPr="0069484D">
        <w:rPr>
          <w:rFonts w:cs="Arial"/>
        </w:rPr>
        <w:t>taken</w:t>
      </w:r>
      <w:r w:rsidRPr="0069484D">
        <w:rPr>
          <w:rFonts w:cs="Arial"/>
          <w:spacing w:val="-6"/>
        </w:rPr>
        <w:t xml:space="preserve"> </w:t>
      </w:r>
      <w:r w:rsidRPr="0069484D">
        <w:rPr>
          <w:rFonts w:cs="Arial"/>
        </w:rPr>
        <w:t>as</w:t>
      </w:r>
      <w:r w:rsidRPr="0069484D">
        <w:rPr>
          <w:rFonts w:cs="Arial"/>
          <w:spacing w:val="-6"/>
        </w:rPr>
        <w:t xml:space="preserve"> </w:t>
      </w:r>
      <w:r w:rsidRPr="0069484D">
        <w:rPr>
          <w:rFonts w:cs="Arial"/>
        </w:rPr>
        <w:t>zero,</w:t>
      </w:r>
      <w:r w:rsidRPr="0069484D">
        <w:rPr>
          <w:rFonts w:cs="Arial"/>
          <w:w w:val="99"/>
        </w:rPr>
        <w:t xml:space="preserve"> </w:t>
      </w:r>
      <w:r w:rsidRPr="0069484D">
        <w:rPr>
          <w:rFonts w:cs="Arial"/>
        </w:rPr>
        <w:t>being</w:t>
      </w:r>
      <w:r w:rsidRPr="0069484D">
        <w:rPr>
          <w:rFonts w:cs="Arial"/>
          <w:spacing w:val="-7"/>
        </w:rPr>
        <w:t xml:space="preserve"> </w:t>
      </w:r>
      <w:r w:rsidRPr="0069484D">
        <w:rPr>
          <w:rFonts w:cs="Arial"/>
        </w:rPr>
        <w:t>outside</w:t>
      </w:r>
      <w:r w:rsidRPr="0069484D">
        <w:rPr>
          <w:rFonts w:cs="Arial"/>
          <w:spacing w:val="-6"/>
        </w:rPr>
        <w:t xml:space="preserve"> </w:t>
      </w:r>
      <w:r w:rsidRPr="0069484D">
        <w:rPr>
          <w:rFonts w:cs="Arial"/>
        </w:rPr>
        <w:t>the</w:t>
      </w:r>
      <w:r w:rsidRPr="0069484D">
        <w:rPr>
          <w:rFonts w:cs="Arial"/>
          <w:spacing w:val="-7"/>
        </w:rPr>
        <w:t xml:space="preserve"> </w:t>
      </w:r>
      <w:r w:rsidRPr="0069484D">
        <w:rPr>
          <w:rFonts w:cs="Arial"/>
        </w:rPr>
        <w:t>zone</w:t>
      </w:r>
      <w:r w:rsidRPr="0069484D">
        <w:rPr>
          <w:rFonts w:cs="Arial"/>
          <w:spacing w:val="-6"/>
        </w:rPr>
        <w:t xml:space="preserve"> </w:t>
      </w:r>
      <w:r w:rsidRPr="0069484D">
        <w:rPr>
          <w:rFonts w:cs="Arial"/>
        </w:rPr>
        <w:t>of</w:t>
      </w:r>
      <w:r w:rsidRPr="0069484D">
        <w:rPr>
          <w:rFonts w:cs="Arial"/>
          <w:spacing w:val="-7"/>
        </w:rPr>
        <w:t xml:space="preserve"> </w:t>
      </w:r>
      <w:r w:rsidRPr="0069484D">
        <w:rPr>
          <w:rFonts w:cs="Arial"/>
        </w:rPr>
        <w:t>influence</w:t>
      </w:r>
      <w:r w:rsidRPr="0069484D">
        <w:rPr>
          <w:rFonts w:cs="Arial"/>
          <w:spacing w:val="-6"/>
        </w:rPr>
        <w:t xml:space="preserve"> </w:t>
      </w:r>
      <w:r w:rsidRPr="0069484D">
        <w:rPr>
          <w:rFonts w:cs="Arial"/>
        </w:rPr>
        <w:t>of</w:t>
      </w:r>
      <w:r w:rsidRPr="0069484D">
        <w:rPr>
          <w:rFonts w:cs="Arial"/>
          <w:spacing w:val="-7"/>
        </w:rPr>
        <w:t xml:space="preserve"> </w:t>
      </w:r>
      <w:r w:rsidRPr="0069484D">
        <w:rPr>
          <w:rFonts w:cs="Arial"/>
        </w:rPr>
        <w:t xml:space="preserve">any earthing arrangement </w:t>
      </w:r>
    </w:p>
    <w:p w14:paraId="7AAF3A2A" w14:textId="77777777" w:rsidR="00D32EBF" w:rsidRPr="0069484D" w:rsidRDefault="00D32EBF" w:rsidP="00D32EBF">
      <w:pPr>
        <w:pStyle w:val="Poznmka"/>
        <w:rPr>
          <w:rFonts w:cs="Arial"/>
          <w:spacing w:val="-2"/>
        </w:rPr>
      </w:pPr>
      <w:r w:rsidRPr="0069484D">
        <w:rPr>
          <w:rFonts w:cs="Arial"/>
        </w:rPr>
        <w:t>Note</w:t>
      </w:r>
      <w:r w:rsidRPr="0069484D">
        <w:rPr>
          <w:rFonts w:cs="Arial"/>
          <w:spacing w:val="-6"/>
        </w:rPr>
        <w:t xml:space="preserve"> </w:t>
      </w:r>
      <w:r w:rsidRPr="0069484D">
        <w:rPr>
          <w:rFonts w:cs="Arial"/>
        </w:rPr>
        <w:t>1</w:t>
      </w:r>
      <w:r w:rsidRPr="0069484D">
        <w:rPr>
          <w:rFonts w:cs="Arial"/>
          <w:spacing w:val="-5"/>
        </w:rPr>
        <w:t xml:space="preserve"> </w:t>
      </w:r>
      <w:r w:rsidRPr="0069484D">
        <w:rPr>
          <w:rFonts w:cs="Arial"/>
        </w:rPr>
        <w:t>to</w:t>
      </w:r>
      <w:r w:rsidRPr="0069484D">
        <w:rPr>
          <w:rFonts w:cs="Arial"/>
          <w:spacing w:val="-6"/>
        </w:rPr>
        <w:t xml:space="preserve"> </w:t>
      </w:r>
      <w:r w:rsidRPr="0069484D">
        <w:rPr>
          <w:rFonts w:cs="Arial"/>
        </w:rPr>
        <w:t>entry:</w:t>
      </w:r>
      <w:r w:rsidRPr="0069484D">
        <w:rPr>
          <w:rFonts w:cs="Arial"/>
          <w:spacing w:val="-5"/>
        </w:rPr>
        <w:t xml:space="preserve"> </w:t>
      </w:r>
      <w:r w:rsidRPr="0069484D">
        <w:rPr>
          <w:rFonts w:cs="Arial"/>
        </w:rPr>
        <w:t>The</w:t>
      </w:r>
      <w:r w:rsidRPr="0069484D">
        <w:rPr>
          <w:rFonts w:cs="Arial"/>
          <w:spacing w:val="-6"/>
        </w:rPr>
        <w:t xml:space="preserve"> </w:t>
      </w:r>
      <w:r w:rsidRPr="0069484D">
        <w:rPr>
          <w:rFonts w:cs="Arial"/>
        </w:rPr>
        <w:t>concept</w:t>
      </w:r>
      <w:r w:rsidRPr="0069484D">
        <w:rPr>
          <w:rFonts w:cs="Arial"/>
          <w:spacing w:val="-5"/>
        </w:rPr>
        <w:t xml:space="preserve"> </w:t>
      </w:r>
      <w:r w:rsidRPr="0069484D">
        <w:rPr>
          <w:rFonts w:cs="Arial"/>
        </w:rPr>
        <w:t>"Earth"</w:t>
      </w:r>
      <w:r w:rsidRPr="0069484D">
        <w:rPr>
          <w:rFonts w:cs="Arial"/>
          <w:spacing w:val="-5"/>
        </w:rPr>
        <w:t xml:space="preserve"> </w:t>
      </w:r>
      <w:r w:rsidRPr="0069484D">
        <w:rPr>
          <w:rFonts w:cs="Arial"/>
        </w:rPr>
        <w:t>means</w:t>
      </w:r>
      <w:r w:rsidRPr="0069484D">
        <w:rPr>
          <w:rFonts w:cs="Arial"/>
          <w:spacing w:val="-6"/>
        </w:rPr>
        <w:t xml:space="preserve"> </w:t>
      </w:r>
      <w:r w:rsidRPr="0069484D">
        <w:rPr>
          <w:rFonts w:cs="Arial"/>
        </w:rPr>
        <w:t>the</w:t>
      </w:r>
      <w:r w:rsidRPr="0069484D">
        <w:rPr>
          <w:rFonts w:cs="Arial"/>
          <w:spacing w:val="-5"/>
        </w:rPr>
        <w:t xml:space="preserve"> </w:t>
      </w:r>
      <w:r w:rsidRPr="0069484D">
        <w:rPr>
          <w:rFonts w:cs="Arial"/>
        </w:rPr>
        <w:t>planet</w:t>
      </w:r>
      <w:r w:rsidRPr="0069484D">
        <w:rPr>
          <w:rFonts w:cs="Arial"/>
          <w:spacing w:val="-6"/>
        </w:rPr>
        <w:t xml:space="preserve"> </w:t>
      </w:r>
      <w:r w:rsidRPr="0069484D">
        <w:rPr>
          <w:rFonts w:cs="Arial"/>
        </w:rPr>
        <w:t>and</w:t>
      </w:r>
      <w:r w:rsidRPr="0069484D">
        <w:rPr>
          <w:rFonts w:cs="Arial"/>
          <w:spacing w:val="-5"/>
        </w:rPr>
        <w:t xml:space="preserve"> </w:t>
      </w:r>
      <w:r w:rsidRPr="0069484D">
        <w:rPr>
          <w:rFonts w:cs="Arial"/>
        </w:rPr>
        <w:t>all</w:t>
      </w:r>
      <w:r w:rsidRPr="0069484D">
        <w:rPr>
          <w:rFonts w:cs="Arial"/>
          <w:spacing w:val="-6"/>
        </w:rPr>
        <w:t xml:space="preserve"> </w:t>
      </w:r>
      <w:r w:rsidRPr="0069484D">
        <w:rPr>
          <w:rFonts w:cs="Arial"/>
        </w:rPr>
        <w:t>its</w:t>
      </w:r>
      <w:r w:rsidRPr="0069484D">
        <w:rPr>
          <w:rFonts w:cs="Arial"/>
          <w:spacing w:val="-5"/>
        </w:rPr>
        <w:t xml:space="preserve"> </w:t>
      </w:r>
      <w:r w:rsidRPr="0069484D">
        <w:rPr>
          <w:rFonts w:cs="Arial"/>
        </w:rPr>
        <w:t>physical</w:t>
      </w:r>
      <w:r w:rsidRPr="0069484D">
        <w:rPr>
          <w:rFonts w:cs="Arial"/>
          <w:spacing w:val="-6"/>
        </w:rPr>
        <w:t xml:space="preserve"> </w:t>
      </w:r>
      <w:r w:rsidRPr="0069484D">
        <w:rPr>
          <w:rFonts w:cs="Arial"/>
          <w:spacing w:val="-2"/>
        </w:rPr>
        <w:t>matter.</w:t>
      </w:r>
    </w:p>
    <w:p w14:paraId="2F576567" w14:textId="77777777" w:rsidR="00D32EBF" w:rsidRPr="00093177" w:rsidRDefault="00D32EBF" w:rsidP="00D32EBF">
      <w:pPr>
        <w:pStyle w:val="Textnormy"/>
        <w:rPr>
          <w:rFonts w:cs="Arial"/>
          <w:bCs/>
          <w:i/>
          <w:iCs/>
        </w:rPr>
      </w:pPr>
      <w:r>
        <w:rPr>
          <w:rFonts w:cs="Arial"/>
          <w:bCs/>
          <w:i/>
          <w:iCs/>
          <w:highlight w:val="yellow"/>
        </w:rPr>
        <w:t>(</w:t>
      </w:r>
      <w:r w:rsidRPr="00093177">
        <w:rPr>
          <w:rFonts w:cs="Arial"/>
          <w:bCs/>
          <w:i/>
          <w:iCs/>
          <w:highlight w:val="yellow"/>
        </w:rPr>
        <w:t>Francouzské termíny a definice není nutné uvádět.</w:t>
      </w:r>
      <w:r>
        <w:rPr>
          <w:rFonts w:cs="Arial"/>
          <w:bCs/>
          <w:i/>
          <w:iCs/>
        </w:rPr>
        <w:t>)</w:t>
      </w:r>
    </w:p>
    <w:p w14:paraId="46D9FBE8" w14:textId="77777777" w:rsidR="00D32EBF" w:rsidRPr="00093177" w:rsidRDefault="00D32EBF" w:rsidP="0058308D">
      <w:pPr>
        <w:pStyle w:val="Textnormy"/>
        <w:spacing w:before="240"/>
        <w:rPr>
          <w:rFonts w:cs="Arial"/>
        </w:rPr>
      </w:pPr>
      <w:r w:rsidRPr="0069484D">
        <w:rPr>
          <w:rFonts w:cs="Arial"/>
          <w:b/>
        </w:rPr>
        <w:t>terre</w:t>
      </w:r>
      <w:r w:rsidRPr="0069484D">
        <w:rPr>
          <w:rFonts w:cs="Arial"/>
          <w:b/>
          <w:spacing w:val="-6"/>
        </w:rPr>
        <w:t xml:space="preserve"> </w:t>
      </w:r>
      <w:r w:rsidRPr="0069484D">
        <w:rPr>
          <w:rFonts w:cs="Arial"/>
          <w:b/>
        </w:rPr>
        <w:t>de</w:t>
      </w:r>
      <w:r w:rsidRPr="0069484D">
        <w:rPr>
          <w:rFonts w:cs="Arial"/>
          <w:b/>
          <w:spacing w:val="-5"/>
        </w:rPr>
        <w:t xml:space="preserve"> </w:t>
      </w:r>
      <w:r w:rsidRPr="0069484D">
        <w:rPr>
          <w:rFonts w:cs="Arial"/>
          <w:b/>
        </w:rPr>
        <w:t>référence</w:t>
      </w:r>
      <w:r w:rsidRPr="00DB19DB">
        <w:rPr>
          <w:rFonts w:cs="Arial"/>
          <w:bCs/>
        </w:rPr>
        <w:t>,</w:t>
      </w:r>
      <w:r w:rsidRPr="00DB19DB">
        <w:rPr>
          <w:rFonts w:cs="Arial"/>
          <w:bCs/>
          <w:spacing w:val="-6"/>
        </w:rPr>
        <w:t xml:space="preserve"> </w:t>
      </w:r>
      <w:r w:rsidRPr="00DB19DB">
        <w:rPr>
          <w:rFonts w:cs="Arial"/>
          <w:bCs/>
        </w:rPr>
        <w:t>f</w:t>
      </w:r>
      <w:r w:rsidRPr="0069484D">
        <w:rPr>
          <w:rFonts w:cs="Arial"/>
          <w:b/>
        </w:rPr>
        <w:tab/>
      </w:r>
      <w:r w:rsidRPr="0069484D">
        <w:rPr>
          <w:rFonts w:cs="Arial"/>
          <w:b/>
        </w:rPr>
        <w:br/>
      </w:r>
      <w:r w:rsidRPr="00093177">
        <w:rPr>
          <w:rFonts w:cs="Arial"/>
        </w:rPr>
        <w:t>partie</w:t>
      </w:r>
      <w:r w:rsidRPr="00093177">
        <w:rPr>
          <w:rFonts w:cs="Arial"/>
          <w:spacing w:val="-6"/>
        </w:rPr>
        <w:t xml:space="preserve"> </w:t>
      </w:r>
      <w:r w:rsidRPr="00093177">
        <w:rPr>
          <w:rFonts w:cs="Arial"/>
        </w:rPr>
        <w:t>de</w:t>
      </w:r>
      <w:r w:rsidRPr="00093177">
        <w:rPr>
          <w:rFonts w:cs="Arial"/>
          <w:spacing w:val="-6"/>
        </w:rPr>
        <w:t xml:space="preserve"> </w:t>
      </w:r>
      <w:r w:rsidRPr="00093177">
        <w:rPr>
          <w:rFonts w:cs="Arial"/>
        </w:rPr>
        <w:t>la</w:t>
      </w:r>
      <w:r w:rsidRPr="00093177">
        <w:rPr>
          <w:rFonts w:cs="Arial"/>
          <w:spacing w:val="-6"/>
        </w:rPr>
        <w:t xml:space="preserve"> </w:t>
      </w:r>
      <w:r w:rsidRPr="00093177">
        <w:rPr>
          <w:rFonts w:cs="Arial"/>
          <w:spacing w:val="-5"/>
        </w:rPr>
        <w:t>Terre</w:t>
      </w:r>
      <w:r w:rsidRPr="00093177">
        <w:rPr>
          <w:rFonts w:cs="Arial"/>
          <w:spacing w:val="-6"/>
        </w:rPr>
        <w:t xml:space="preserve"> </w:t>
      </w:r>
      <w:r w:rsidRPr="00093177">
        <w:rPr>
          <w:rFonts w:cs="Arial"/>
        </w:rPr>
        <w:t>considérée</w:t>
      </w:r>
      <w:r w:rsidRPr="00093177">
        <w:rPr>
          <w:rFonts w:cs="Arial"/>
          <w:spacing w:val="-6"/>
        </w:rPr>
        <w:t xml:space="preserve"> </w:t>
      </w:r>
      <w:r w:rsidRPr="00093177">
        <w:rPr>
          <w:rFonts w:cs="Arial"/>
        </w:rPr>
        <w:t>comme</w:t>
      </w:r>
      <w:r w:rsidRPr="00093177">
        <w:rPr>
          <w:rFonts w:cs="Arial"/>
          <w:spacing w:val="-5"/>
        </w:rPr>
        <w:t xml:space="preserve"> </w:t>
      </w:r>
      <w:r w:rsidRPr="00093177">
        <w:rPr>
          <w:rFonts w:cs="Arial"/>
        </w:rPr>
        <w:t>conductrice,</w:t>
      </w:r>
      <w:r w:rsidRPr="00093177">
        <w:rPr>
          <w:rFonts w:cs="Arial"/>
          <w:spacing w:val="-6"/>
        </w:rPr>
        <w:t xml:space="preserve"> </w:t>
      </w:r>
      <w:r w:rsidRPr="00093177">
        <w:rPr>
          <w:rFonts w:cs="Arial"/>
        </w:rPr>
        <w:t>dont</w:t>
      </w:r>
      <w:r w:rsidRPr="00093177">
        <w:rPr>
          <w:rFonts w:cs="Arial"/>
          <w:spacing w:val="-6"/>
        </w:rPr>
        <w:t xml:space="preserve"> </w:t>
      </w:r>
      <w:r w:rsidRPr="00093177">
        <w:rPr>
          <w:rFonts w:cs="Arial"/>
        </w:rPr>
        <w:t>le</w:t>
      </w:r>
      <w:r w:rsidRPr="00093177">
        <w:rPr>
          <w:rFonts w:cs="Arial"/>
          <w:spacing w:val="-6"/>
        </w:rPr>
        <w:t xml:space="preserve"> </w:t>
      </w:r>
      <w:r w:rsidRPr="00093177">
        <w:rPr>
          <w:rFonts w:cs="Arial"/>
        </w:rPr>
        <w:t>potentiel</w:t>
      </w:r>
      <w:r w:rsidRPr="00093177">
        <w:rPr>
          <w:rFonts w:cs="Arial"/>
          <w:spacing w:val="-6"/>
        </w:rPr>
        <w:t xml:space="preserve"> </w:t>
      </w:r>
      <w:r w:rsidRPr="00093177">
        <w:rPr>
          <w:rFonts w:cs="Arial"/>
        </w:rPr>
        <w:t>électrique</w:t>
      </w:r>
      <w:r w:rsidRPr="00093177">
        <w:rPr>
          <w:rFonts w:cs="Arial"/>
          <w:spacing w:val="-6"/>
        </w:rPr>
        <w:t xml:space="preserve"> </w:t>
      </w:r>
      <w:r w:rsidRPr="00093177">
        <w:rPr>
          <w:rFonts w:cs="Arial"/>
        </w:rPr>
        <w:t>est</w:t>
      </w:r>
      <w:r w:rsidRPr="00093177">
        <w:rPr>
          <w:rFonts w:cs="Arial"/>
          <w:spacing w:val="-5"/>
        </w:rPr>
        <w:t xml:space="preserve"> </w:t>
      </w:r>
      <w:r w:rsidRPr="00093177">
        <w:rPr>
          <w:rFonts w:cs="Arial"/>
        </w:rPr>
        <w:t>pris,</w:t>
      </w:r>
      <w:r w:rsidRPr="00093177">
        <w:rPr>
          <w:rFonts w:cs="Arial"/>
          <w:spacing w:val="-6"/>
        </w:rPr>
        <w:t xml:space="preserve"> </w:t>
      </w:r>
      <w:r w:rsidRPr="00093177">
        <w:rPr>
          <w:rFonts w:cs="Arial"/>
        </w:rPr>
        <w:t>par</w:t>
      </w:r>
      <w:r w:rsidRPr="00093177">
        <w:rPr>
          <w:rFonts w:cs="Arial"/>
          <w:spacing w:val="-6"/>
        </w:rPr>
        <w:t xml:space="preserve"> </w:t>
      </w:r>
      <w:r w:rsidRPr="00093177">
        <w:rPr>
          <w:rFonts w:cs="Arial"/>
        </w:rPr>
        <w:t>convention,</w:t>
      </w:r>
      <w:r w:rsidRPr="00093177">
        <w:rPr>
          <w:rFonts w:cs="Arial"/>
          <w:spacing w:val="-6"/>
        </w:rPr>
        <w:t xml:space="preserve"> </w:t>
      </w:r>
      <w:r w:rsidRPr="00093177">
        <w:rPr>
          <w:rFonts w:cs="Arial"/>
        </w:rPr>
        <w:t>égal</w:t>
      </w:r>
      <w:r w:rsidRPr="00093177">
        <w:rPr>
          <w:rFonts w:cs="Arial"/>
          <w:spacing w:val="-6"/>
        </w:rPr>
        <w:t xml:space="preserve"> </w:t>
      </w:r>
      <w:r w:rsidRPr="00093177">
        <w:rPr>
          <w:rFonts w:cs="Arial"/>
        </w:rPr>
        <w:t>à</w:t>
      </w:r>
      <w:r w:rsidRPr="00093177">
        <w:rPr>
          <w:rFonts w:cs="Arial"/>
          <w:spacing w:val="24"/>
          <w:w w:val="99"/>
        </w:rPr>
        <w:t xml:space="preserve"> </w:t>
      </w:r>
      <w:r w:rsidRPr="00093177">
        <w:rPr>
          <w:rFonts w:cs="Arial"/>
        </w:rPr>
        <w:t>zéro,</w:t>
      </w:r>
      <w:r w:rsidRPr="00093177">
        <w:rPr>
          <w:rFonts w:cs="Arial"/>
          <w:spacing w:val="-5"/>
        </w:rPr>
        <w:t xml:space="preserve"> </w:t>
      </w:r>
      <w:r w:rsidRPr="00093177">
        <w:rPr>
          <w:rFonts w:cs="Arial"/>
        </w:rPr>
        <w:t>étant</w:t>
      </w:r>
      <w:r w:rsidRPr="00093177">
        <w:rPr>
          <w:rFonts w:cs="Arial"/>
          <w:spacing w:val="-5"/>
        </w:rPr>
        <w:t xml:space="preserve"> </w:t>
      </w:r>
      <w:r w:rsidRPr="00093177">
        <w:rPr>
          <w:rFonts w:cs="Arial"/>
        </w:rPr>
        <w:t>hors</w:t>
      </w:r>
      <w:r w:rsidRPr="00093177">
        <w:rPr>
          <w:rFonts w:cs="Arial"/>
          <w:spacing w:val="-5"/>
        </w:rPr>
        <w:t xml:space="preserve"> </w:t>
      </w:r>
      <w:r w:rsidRPr="00093177">
        <w:rPr>
          <w:rFonts w:cs="Arial"/>
        </w:rPr>
        <w:t>de</w:t>
      </w:r>
      <w:r w:rsidRPr="00093177">
        <w:rPr>
          <w:rFonts w:cs="Arial"/>
          <w:spacing w:val="-5"/>
        </w:rPr>
        <w:t xml:space="preserve"> </w:t>
      </w:r>
      <w:r w:rsidRPr="00093177">
        <w:rPr>
          <w:rFonts w:cs="Arial"/>
        </w:rPr>
        <w:t>la</w:t>
      </w:r>
      <w:r w:rsidRPr="00093177">
        <w:rPr>
          <w:rFonts w:cs="Arial"/>
          <w:spacing w:val="-5"/>
        </w:rPr>
        <w:t xml:space="preserve"> </w:t>
      </w:r>
      <w:r w:rsidRPr="00093177">
        <w:rPr>
          <w:rFonts w:cs="Arial"/>
        </w:rPr>
        <w:t>zone</w:t>
      </w:r>
      <w:r w:rsidRPr="00093177">
        <w:rPr>
          <w:rFonts w:cs="Arial"/>
          <w:spacing w:val="-5"/>
        </w:rPr>
        <w:t xml:space="preserve"> </w:t>
      </w:r>
      <w:r w:rsidRPr="00093177">
        <w:rPr>
          <w:rFonts w:cs="Arial"/>
        </w:rPr>
        <w:t>d'influence</w:t>
      </w:r>
      <w:r w:rsidRPr="00093177">
        <w:rPr>
          <w:rFonts w:cs="Arial"/>
          <w:spacing w:val="-5"/>
        </w:rPr>
        <w:t xml:space="preserve"> </w:t>
      </w:r>
      <w:r w:rsidRPr="00093177">
        <w:rPr>
          <w:rFonts w:cs="Arial"/>
        </w:rPr>
        <w:t>de</w:t>
      </w:r>
      <w:r w:rsidRPr="00093177">
        <w:rPr>
          <w:rFonts w:cs="Arial"/>
          <w:spacing w:val="-5"/>
        </w:rPr>
        <w:t xml:space="preserve"> </w:t>
      </w:r>
      <w:r w:rsidRPr="00093177">
        <w:rPr>
          <w:rFonts w:cs="Arial"/>
        </w:rPr>
        <w:t xml:space="preserve">toute installation de mise à la terre </w:t>
      </w:r>
    </w:p>
    <w:p w14:paraId="024B55CE" w14:textId="33A1C4CE" w:rsidR="00D32EBF" w:rsidRDefault="00D32EBF" w:rsidP="0058308D">
      <w:pPr>
        <w:pStyle w:val="Poznmka"/>
      </w:pPr>
      <w:r w:rsidRPr="0069484D">
        <w:t>Note</w:t>
      </w:r>
      <w:r w:rsidRPr="0069484D">
        <w:rPr>
          <w:spacing w:val="-5"/>
        </w:rPr>
        <w:t xml:space="preserve"> </w:t>
      </w:r>
      <w:r w:rsidRPr="0069484D">
        <w:t>1</w:t>
      </w:r>
      <w:r w:rsidRPr="0069484D">
        <w:rPr>
          <w:spacing w:val="-4"/>
        </w:rPr>
        <w:t xml:space="preserve"> </w:t>
      </w:r>
      <w:r w:rsidRPr="0069484D">
        <w:t>à</w:t>
      </w:r>
      <w:r w:rsidRPr="0069484D">
        <w:rPr>
          <w:spacing w:val="-5"/>
        </w:rPr>
        <w:t xml:space="preserve"> </w:t>
      </w:r>
      <w:r w:rsidRPr="0069484D">
        <w:t>l’article:</w:t>
      </w:r>
      <w:r w:rsidRPr="0069484D">
        <w:rPr>
          <w:spacing w:val="-4"/>
        </w:rPr>
        <w:t xml:space="preserve"> </w:t>
      </w:r>
      <w:r w:rsidRPr="0069484D">
        <w:t>La</w:t>
      </w:r>
      <w:r w:rsidRPr="0069484D">
        <w:rPr>
          <w:spacing w:val="-5"/>
        </w:rPr>
        <w:t xml:space="preserve"> </w:t>
      </w:r>
      <w:r w:rsidRPr="0069484D">
        <w:t>notion</w:t>
      </w:r>
      <w:r w:rsidRPr="0069484D">
        <w:rPr>
          <w:spacing w:val="-4"/>
        </w:rPr>
        <w:t xml:space="preserve"> </w:t>
      </w:r>
      <w:r w:rsidRPr="0069484D">
        <w:t>de</w:t>
      </w:r>
      <w:r w:rsidRPr="0069484D">
        <w:rPr>
          <w:spacing w:val="-5"/>
        </w:rPr>
        <w:t xml:space="preserve"> </w:t>
      </w:r>
      <w:r w:rsidRPr="0069484D">
        <w:rPr>
          <w:spacing w:val="-3"/>
        </w:rPr>
        <w:t>"Terre"</w:t>
      </w:r>
      <w:r w:rsidRPr="0069484D">
        <w:rPr>
          <w:spacing w:val="-4"/>
        </w:rPr>
        <w:t xml:space="preserve"> </w:t>
      </w:r>
      <w:r w:rsidRPr="0069484D">
        <w:t>se</w:t>
      </w:r>
      <w:r w:rsidRPr="0069484D">
        <w:rPr>
          <w:spacing w:val="-5"/>
        </w:rPr>
        <w:t xml:space="preserve"> </w:t>
      </w:r>
      <w:r w:rsidRPr="0069484D">
        <w:t>réfère</w:t>
      </w:r>
      <w:r w:rsidRPr="0069484D">
        <w:rPr>
          <w:spacing w:val="-4"/>
        </w:rPr>
        <w:t xml:space="preserve"> </w:t>
      </w:r>
      <w:r w:rsidRPr="0069484D">
        <w:t>à</w:t>
      </w:r>
      <w:r w:rsidRPr="0069484D">
        <w:rPr>
          <w:spacing w:val="-5"/>
        </w:rPr>
        <w:t xml:space="preserve"> </w:t>
      </w:r>
      <w:r w:rsidRPr="0069484D">
        <w:t>la</w:t>
      </w:r>
      <w:r w:rsidRPr="0069484D">
        <w:rPr>
          <w:spacing w:val="-4"/>
        </w:rPr>
        <w:t xml:space="preserve"> </w:t>
      </w:r>
      <w:r w:rsidRPr="0069484D">
        <w:t>planète</w:t>
      </w:r>
      <w:r w:rsidRPr="0069484D">
        <w:rPr>
          <w:spacing w:val="-5"/>
        </w:rPr>
        <w:t xml:space="preserve"> </w:t>
      </w:r>
      <w:r w:rsidRPr="0069484D">
        <w:t>et</w:t>
      </w:r>
      <w:r w:rsidRPr="0069484D">
        <w:rPr>
          <w:spacing w:val="-4"/>
        </w:rPr>
        <w:t xml:space="preserve"> </w:t>
      </w:r>
      <w:r w:rsidRPr="0069484D">
        <w:t>à</w:t>
      </w:r>
      <w:r w:rsidRPr="0069484D">
        <w:rPr>
          <w:spacing w:val="-5"/>
        </w:rPr>
        <w:t xml:space="preserve"> </w:t>
      </w:r>
      <w:r w:rsidRPr="0069484D">
        <w:t>toute</w:t>
      </w:r>
      <w:r w:rsidRPr="0069484D">
        <w:rPr>
          <w:spacing w:val="-4"/>
        </w:rPr>
        <w:t xml:space="preserve"> </w:t>
      </w:r>
      <w:r w:rsidRPr="0069484D">
        <w:t>la</w:t>
      </w:r>
      <w:r w:rsidRPr="0069484D">
        <w:rPr>
          <w:spacing w:val="-5"/>
        </w:rPr>
        <w:t xml:space="preserve"> </w:t>
      </w:r>
      <w:r w:rsidRPr="0069484D">
        <w:t>matière</w:t>
      </w:r>
      <w:r w:rsidRPr="0069484D">
        <w:rPr>
          <w:spacing w:val="-4"/>
        </w:rPr>
        <w:t xml:space="preserve"> </w:t>
      </w:r>
      <w:r w:rsidRPr="0069484D">
        <w:t>dont</w:t>
      </w:r>
      <w:r w:rsidRPr="0069484D">
        <w:rPr>
          <w:spacing w:val="-5"/>
        </w:rPr>
        <w:t xml:space="preserve"> </w:t>
      </w:r>
      <w:r w:rsidRPr="0069484D">
        <w:t>elle</w:t>
      </w:r>
      <w:r w:rsidRPr="0069484D">
        <w:rPr>
          <w:spacing w:val="-4"/>
        </w:rPr>
        <w:t xml:space="preserve"> </w:t>
      </w:r>
      <w:r w:rsidRPr="0069484D">
        <w:t>est</w:t>
      </w:r>
      <w:r w:rsidRPr="0069484D">
        <w:rPr>
          <w:spacing w:val="-5"/>
        </w:rPr>
        <w:t xml:space="preserve"> </w:t>
      </w:r>
      <w:r w:rsidRPr="0069484D">
        <w:t>composée.</w:t>
      </w:r>
    </w:p>
    <w:p w14:paraId="401FF26B" w14:textId="0EFF2F69" w:rsidR="00D32EBF" w:rsidRPr="00A76402" w:rsidRDefault="00D32EBF" w:rsidP="00D32EBF">
      <w:pPr>
        <w:pStyle w:val="Nadpis1"/>
        <w:rPr>
          <w:b w:val="0"/>
          <w:bCs/>
          <w:i/>
          <w:iCs/>
          <w:sz w:val="20"/>
        </w:rPr>
      </w:pPr>
      <w:bookmarkStart w:id="103" w:name="_Toc99963441"/>
      <w:r>
        <w:t>Abecední rejstříky</w:t>
      </w:r>
      <w:bookmarkEnd w:id="103"/>
      <w:r>
        <w:t xml:space="preserve"> </w:t>
      </w:r>
      <w:r w:rsidRPr="00A76402">
        <w:rPr>
          <w:b w:val="0"/>
          <w:bCs/>
          <w:i/>
          <w:iCs/>
          <w:sz w:val="20"/>
          <w:highlight w:val="yellow"/>
        </w:rPr>
        <w:t>(Rejstříky se uvádějí pouze v těch jazycích, ve kterých jsou v normě uváděny termíny a definice.)</w:t>
      </w:r>
    </w:p>
    <w:p w14:paraId="790C1C8D" w14:textId="24A3CF7C" w:rsidR="00D32EBF" w:rsidRDefault="00D32EBF" w:rsidP="009C2A76">
      <w:pPr>
        <w:pStyle w:val="Nadpislnku"/>
      </w:pPr>
      <w:r>
        <w:t>Český abecední rejstřík</w:t>
      </w:r>
    </w:p>
    <w:p w14:paraId="6807DFCB" w14:textId="77777777" w:rsidR="00D32EBF" w:rsidRPr="00BE03AF" w:rsidRDefault="00D32EBF" w:rsidP="009C2A76">
      <w:pPr>
        <w:pStyle w:val="Rejstk1"/>
        <w:tabs>
          <w:tab w:val="right" w:leader="dot" w:pos="9923"/>
        </w:tabs>
        <w:rPr>
          <w:noProof/>
        </w:rPr>
      </w:pPr>
      <w:r w:rsidRPr="00BE03AF">
        <w:rPr>
          <w:noProof/>
        </w:rPr>
        <w:t>automatické odpojení od zdroje</w:t>
      </w:r>
      <w:r w:rsidRPr="00BE03AF">
        <w:rPr>
          <w:noProof/>
        </w:rPr>
        <w:tab/>
      </w:r>
      <w:r w:rsidRPr="00BE03AF">
        <w:rPr>
          <w:rFonts w:cstheme="minorHAnsi"/>
          <w:noProof/>
        </w:rPr>
        <w:t>195-04-10</w:t>
      </w:r>
    </w:p>
    <w:p w14:paraId="11215A1F" w14:textId="77777777" w:rsidR="00D32EBF" w:rsidRPr="00BE03AF" w:rsidRDefault="00D32EBF" w:rsidP="009C2A76">
      <w:pPr>
        <w:pStyle w:val="Rejstk1"/>
        <w:tabs>
          <w:tab w:val="right" w:leader="dot" w:pos="9923"/>
        </w:tabs>
        <w:rPr>
          <w:noProof/>
        </w:rPr>
      </w:pPr>
      <w:r w:rsidRPr="00BE03AF">
        <w:rPr>
          <w:noProof/>
        </w:rPr>
        <w:t>bludný proud &lt;v elektrických instalacích a zařízeních&gt;</w:t>
      </w:r>
      <w:r w:rsidRPr="00BE03AF">
        <w:rPr>
          <w:noProof/>
        </w:rPr>
        <w:tab/>
      </w:r>
      <w:r w:rsidRPr="00BE03AF">
        <w:rPr>
          <w:rFonts w:cstheme="minorHAnsi"/>
          <w:noProof/>
        </w:rPr>
        <w:t>195-05-16</w:t>
      </w:r>
    </w:p>
    <w:p w14:paraId="478B15E7" w14:textId="77777777" w:rsidR="00D32EBF" w:rsidRPr="00BE03AF" w:rsidRDefault="00D32EBF" w:rsidP="009C2A76">
      <w:pPr>
        <w:pStyle w:val="Rejstk1"/>
        <w:tabs>
          <w:tab w:val="right" w:leader="dot" w:pos="9923"/>
        </w:tabs>
        <w:rPr>
          <w:noProof/>
        </w:rPr>
      </w:pPr>
      <w:r w:rsidRPr="00BE03AF">
        <w:rPr>
          <w:noProof/>
        </w:rPr>
        <w:t>cizí vodivá část</w:t>
      </w:r>
      <w:r w:rsidRPr="00BE03AF">
        <w:rPr>
          <w:noProof/>
        </w:rPr>
        <w:tab/>
      </w:r>
      <w:r w:rsidRPr="00BE03AF">
        <w:rPr>
          <w:rFonts w:cstheme="minorHAnsi"/>
          <w:noProof/>
        </w:rPr>
        <w:t>195-06-11</w:t>
      </w:r>
    </w:p>
    <w:p w14:paraId="3DD41310" w14:textId="77777777" w:rsidR="00D32EBF" w:rsidRPr="00BE03AF" w:rsidRDefault="00D32EBF" w:rsidP="009C2A76">
      <w:pPr>
        <w:pStyle w:val="Rejstk1"/>
        <w:tabs>
          <w:tab w:val="right" w:leader="dot" w:pos="9923"/>
        </w:tabs>
        <w:rPr>
          <w:noProof/>
        </w:rPr>
      </w:pPr>
      <w:r w:rsidRPr="00BE03AF">
        <w:rPr>
          <w:rFonts w:ascii="Arial,Bold" w:hAnsi="Arial,Bold" w:cs="Arial,Bold"/>
          <w:noProof/>
        </w:rPr>
        <w:t>části současně přístupné dotyku</w:t>
      </w:r>
      <w:r w:rsidRPr="00BE03AF">
        <w:rPr>
          <w:noProof/>
        </w:rPr>
        <w:tab/>
      </w:r>
      <w:r w:rsidRPr="00BE03AF">
        <w:rPr>
          <w:rFonts w:cstheme="minorHAnsi"/>
          <w:noProof/>
        </w:rPr>
        <w:t>195-06-32</w:t>
      </w:r>
    </w:p>
    <w:p w14:paraId="404E9E41" w14:textId="0BEC25FB" w:rsidR="00D32EBF" w:rsidRDefault="00D32EBF" w:rsidP="009C2A76">
      <w:pPr>
        <w:pStyle w:val="Rejstk1"/>
        <w:tabs>
          <w:tab w:val="right" w:leader="dot" w:pos="9923"/>
        </w:tabs>
      </w:pPr>
      <w:r w:rsidRPr="00BE03AF">
        <w:rPr>
          <w:noProof/>
        </w:rPr>
        <w:t>dílčí poruchový proud při přerušení vodiče</w:t>
      </w:r>
      <w:r w:rsidRPr="00BE03AF">
        <w:rPr>
          <w:noProof/>
        </w:rPr>
        <w:tab/>
      </w:r>
      <w:r w:rsidRPr="00BE03AF">
        <w:rPr>
          <w:rFonts w:cstheme="minorHAnsi"/>
          <w:noProof/>
        </w:rPr>
        <w:t>195-05-19</w:t>
      </w:r>
    </w:p>
    <w:sectPr w:rsidR="00D32EBF">
      <w:headerReference w:type="even" r:id="rId21"/>
      <w:headerReference w:type="default" r:id="rId22"/>
      <w:footerReference w:type="even" r:id="rId23"/>
      <w:footerReference w:type="default" r:id="rId24"/>
      <w:headerReference w:type="first" r:id="rId25"/>
      <w:pgSz w:w="11907" w:h="16840" w:code="9"/>
      <w:pgMar w:top="1134" w:right="964" w:bottom="1134" w:left="1021"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565912" w14:textId="77777777" w:rsidR="00CF1A53" w:rsidRDefault="00CF1A53">
      <w:r>
        <w:separator/>
      </w:r>
    </w:p>
  </w:endnote>
  <w:endnote w:type="continuationSeparator" w:id="0">
    <w:p w14:paraId="40DBC2F6" w14:textId="77777777" w:rsidR="00CF1A53" w:rsidRDefault="00CF1A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200247B" w:usb2="00000009" w:usb3="00000000" w:csb0="000001FF" w:csb1="00000000"/>
  </w:font>
  <w:font w:name="ArialMT">
    <w:altName w:val="Klee One"/>
    <w:panose1 w:val="00000000000000000000"/>
    <w:charset w:val="EE"/>
    <w:family w:val="auto"/>
    <w:notTrueType/>
    <w:pitch w:val="default"/>
    <w:sig w:usb0="00000005" w:usb1="00000000" w:usb2="00000000" w:usb3="00000000" w:csb0="00000002" w:csb1="00000000"/>
  </w:font>
  <w:font w:name="Arial,Bold">
    <w:altName w:val="Arial"/>
    <w:panose1 w:val="00000000000000000000"/>
    <w:charset w:val="00"/>
    <w:family w:val="swiss"/>
    <w:notTrueType/>
    <w:pitch w:val="default"/>
    <w:sig w:usb0="00000007" w:usb1="00000000" w:usb2="00000000" w:usb3="00000000" w:csb0="00000003"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597D0"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790EC5">
      <w:rPr>
        <w:rStyle w:val="slostrnky"/>
        <w:noProof/>
      </w:rPr>
      <w:t>2</w:t>
    </w:r>
    <w:r>
      <w:rPr>
        <w:rStyle w:val="slostrnky"/>
      </w:rPr>
      <w:fldChar w:fldCharType="end"/>
    </w:r>
  </w:p>
  <w:p w14:paraId="5BDDEFAF" w14:textId="77777777" w:rsidR="00F34746" w:rsidRDefault="00F34746">
    <w:pPr>
      <w:pStyle w:val="Zpat"/>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AE0A50" w14:textId="77777777" w:rsidR="00F34746" w:rsidRDefault="00F34746">
    <w:pPr>
      <w:pStyle w:val="Zpat"/>
      <w:framePr w:wrap="auto" w:vAnchor="text" w:hAnchor="margin" w:xAlign="outside" w:y="1"/>
      <w:rPr>
        <w:rStyle w:val="slostrnky"/>
      </w:rPr>
    </w:pPr>
    <w:r>
      <w:rPr>
        <w:rStyle w:val="slostrnky"/>
      </w:rPr>
      <w:fldChar w:fldCharType="begin"/>
    </w:r>
    <w:r>
      <w:rPr>
        <w:rStyle w:val="slostrnky"/>
      </w:rPr>
      <w:instrText xml:space="preserve">PAGE  </w:instrText>
    </w:r>
    <w:r>
      <w:rPr>
        <w:rStyle w:val="slostrnky"/>
      </w:rPr>
      <w:fldChar w:fldCharType="separate"/>
    </w:r>
    <w:r w:rsidR="00790EC5">
      <w:rPr>
        <w:rStyle w:val="slostrnky"/>
        <w:noProof/>
      </w:rPr>
      <w:t>2</w:t>
    </w:r>
    <w:r>
      <w:rPr>
        <w:rStyle w:val="slostrnky"/>
      </w:rPr>
      <w:fldChar w:fldCharType="end"/>
    </w:r>
  </w:p>
  <w:p w14:paraId="50CE6904" w14:textId="77777777" w:rsidR="00F34746" w:rsidRDefault="00F34746">
    <w:pPr>
      <w:pStyle w:val="Zpat"/>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D546D" w14:textId="55F2BADB" w:rsidR="00F34746" w:rsidRPr="001F5BE3" w:rsidRDefault="001F5BE3" w:rsidP="001F5BE3">
    <w:pPr>
      <w:pStyle w:val="1StrCopyright"/>
      <w:tabs>
        <w:tab w:val="clear" w:pos="2155"/>
      </w:tabs>
    </w:pPr>
    <w:r>
      <w:rPr>
        <w:noProof/>
      </w:rPr>
      <w:drawing>
        <wp:anchor distT="0" distB="0" distL="114300" distR="114300" simplePos="0" relativeHeight="251673600" behindDoc="0" locked="0" layoutInCell="1" allowOverlap="1" wp14:anchorId="66C0DAA6" wp14:editId="73A92916">
          <wp:simplePos x="0" y="0"/>
          <wp:positionH relativeFrom="column">
            <wp:posOffset>-92075</wp:posOffset>
          </wp:positionH>
          <wp:positionV relativeFrom="page">
            <wp:posOffset>9721215</wp:posOffset>
          </wp:positionV>
          <wp:extent cx="1364615" cy="568960"/>
          <wp:effectExtent l="0" t="0" r="6985" b="2540"/>
          <wp:wrapNone/>
          <wp:docPr id="1096764595" name="Obrázek 3" descr="Obsah obrázku text, Písmo, logo, bílé&#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ek 3" descr="Obsah obrázku text, Písmo, logo, bílé&#10;&#10;Popis byl vytvořen automaticky"/>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64615" cy="568960"/>
                  </a:xfrm>
                  <a:prstGeom prst="rect">
                    <a:avLst/>
                  </a:prstGeom>
                  <a:noFill/>
                </pic:spPr>
              </pic:pic>
            </a:graphicData>
          </a:graphic>
          <wp14:sizeRelH relativeFrom="margin">
            <wp14:pctWidth>0</wp14:pctWidth>
          </wp14:sizeRelH>
          <wp14:sizeRelV relativeFrom="margin">
            <wp14:pctHeight>0</wp14:pctHeight>
          </wp14:sizeRelV>
        </wp:anchor>
      </w:drawing>
    </w:r>
    <w:r>
      <w:tab/>
    </w:r>
    <w:r>
      <w:rPr>
        <w:sz w:val="16"/>
      </w:rPr>
      <w:t xml:space="preserve">© Česká agentura pro standardizaci, </w:t>
    </w:r>
    <w:r w:rsidR="000C34A9">
      <w:rPr>
        <w:sz w:val="16"/>
      </w:rPr>
      <w:t>RRRR</w:t>
    </w:r>
    <w:r>
      <w:rPr>
        <w:sz w:val="16"/>
      </w:rPr>
      <w:tab/>
    </w:r>
    <w:r>
      <w:rPr>
        <w:b/>
        <w:sz w:val="20"/>
      </w:rPr>
      <w:t>XXXXXX</w:t>
    </w:r>
    <w:r>
      <w:rPr>
        <w:b/>
        <w:sz w:val="16"/>
      </w:rPr>
      <w:br/>
    </w:r>
    <w:r>
      <w:rPr>
        <w:sz w:val="16"/>
      </w:rPr>
      <w:t>Podle zákona č. 22/1997 Sb. smějí být české technické normy rozmnožovány a rozšiřovány</w:t>
    </w:r>
    <w:r>
      <w:rPr>
        <w:sz w:val="16"/>
      </w:rPr>
      <w:br/>
      <w:t>jen se souhlasem České agentury pro standardizaci.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4B8C4" w14:textId="77777777" w:rsidR="00F34746" w:rsidRDefault="00F3474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E173FC">
      <w:rPr>
        <w:rStyle w:val="slostrnky"/>
        <w:noProof/>
      </w:rPr>
      <w:t>2</w:t>
    </w:r>
    <w:r>
      <w:rPr>
        <w:rStyle w:val="slostrnky"/>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1EB430" w14:textId="77777777" w:rsidR="00F34746" w:rsidRDefault="00F34746">
    <w:pPr>
      <w:pStyle w:val="Zpat"/>
      <w:ind w:right="360" w:firstLine="360"/>
    </w:pPr>
    <w:r>
      <w:rPr>
        <w:rStyle w:val="slostrnky"/>
      </w:rPr>
      <w:fldChar w:fldCharType="begin"/>
    </w:r>
    <w:r>
      <w:rPr>
        <w:rStyle w:val="slostrnky"/>
      </w:rPr>
      <w:instrText xml:space="preserve"> PAGE </w:instrText>
    </w:r>
    <w:r>
      <w:rPr>
        <w:rStyle w:val="slostrnky"/>
      </w:rPr>
      <w:fldChar w:fldCharType="separate"/>
    </w:r>
    <w:r w:rsidR="00790EC5">
      <w:rPr>
        <w:rStyle w:val="slostrnky"/>
        <w:noProof/>
      </w:rPr>
      <w:t>2</w:t>
    </w:r>
    <w:r>
      <w:rPr>
        <w:rStyle w:val="slostrnky"/>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F8CAB6" w14:textId="77777777" w:rsidR="00CF1A53" w:rsidRDefault="00CF1A53">
      <w:r>
        <w:separator/>
      </w:r>
    </w:p>
  </w:footnote>
  <w:footnote w:type="continuationSeparator" w:id="0">
    <w:p w14:paraId="43F1C70B" w14:textId="77777777" w:rsidR="00CF1A53" w:rsidRDefault="00CF1A53">
      <w:r>
        <w:continuationSeparator/>
      </w:r>
    </w:p>
  </w:footnote>
  <w:footnote w:id="1">
    <w:p w14:paraId="570CAEB3" w14:textId="34F00EF7" w:rsidR="00D32EBF" w:rsidRDefault="00D32EBF" w:rsidP="00A76402">
      <w:pPr>
        <w:pStyle w:val="Textpoznpodarou"/>
        <w:tabs>
          <w:tab w:val="left" w:pos="426"/>
        </w:tabs>
      </w:pPr>
      <w:r>
        <w:rPr>
          <w:rStyle w:val="Znakapoznpodarou"/>
        </w:rPr>
        <w:t>NP1)</w:t>
      </w:r>
      <w:r w:rsidR="00A76402">
        <w:tab/>
      </w:r>
      <w:r>
        <w:t>NÁRODNÍ POZNÁMKA</w:t>
      </w:r>
      <w:r w:rsidR="00F14D8A">
        <w:t> </w:t>
      </w:r>
      <w:r>
        <w:t>V této normě uvedené termíny vloženy nejsou, lze je nalézt na www.electropedia.org.</w:t>
      </w:r>
    </w:p>
  </w:footnote>
  <w:footnote w:id="2">
    <w:p w14:paraId="1C96DC0D" w14:textId="00295135" w:rsidR="00D32EBF" w:rsidRDefault="00D32EBF" w:rsidP="00F3350F">
      <w:pPr>
        <w:pStyle w:val="Textpoznpodarou"/>
        <w:tabs>
          <w:tab w:val="left" w:pos="426"/>
        </w:tabs>
      </w:pPr>
      <w:r>
        <w:rPr>
          <w:rStyle w:val="Znakapoznpodarou"/>
        </w:rPr>
        <w:t>NP2)</w:t>
      </w:r>
      <w:r w:rsidR="00F3350F">
        <w:tab/>
      </w:r>
      <w:r>
        <w:t>NÁRODNÍ POZNÁMKA</w:t>
      </w:r>
      <w:r w:rsidR="00F3350F">
        <w:t> </w:t>
      </w:r>
      <w:r>
        <w:t>V této normě uvedené termíny vloženy nejsou, lze je nalézt na www.electropedia.org.</w:t>
      </w:r>
    </w:p>
  </w:footnote>
  <w:footnote w:id="3">
    <w:p w14:paraId="62849C16" w14:textId="37023C0C" w:rsidR="00D32EBF" w:rsidRDefault="00D32EBF" w:rsidP="00A76402">
      <w:pPr>
        <w:pStyle w:val="Textpoznpodarou"/>
        <w:tabs>
          <w:tab w:val="left" w:pos="426"/>
        </w:tabs>
      </w:pPr>
      <w:r>
        <w:rPr>
          <w:rStyle w:val="Znakapoznpodarou"/>
        </w:rPr>
        <w:t>NP3)</w:t>
      </w:r>
      <w:r w:rsidR="00A76402">
        <w:tab/>
      </w:r>
      <w:r>
        <w:t>NÁRODNÍ POZNÁMKA</w:t>
      </w:r>
      <w:r w:rsidR="00342A67">
        <w:t> </w:t>
      </w:r>
      <w:r>
        <w:t>V této normě uvedené termíny vloženy nejsou, lze je nalézt na www.electropedia.org.</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D30BC" w14:textId="50E2DD5A" w:rsidR="00F34746" w:rsidRDefault="00000000">
    <w:pPr>
      <w:pStyle w:val="Zhlav"/>
    </w:pPr>
    <w:r>
      <w:rPr>
        <w:noProof/>
      </w:rPr>
      <w:pict w14:anchorId="6131DC7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89044891" o:spid="_x0000_s1026" type="#_x0000_t136" style="position:absolute;left:0;text-align:left;margin-left:0;margin-top:0;width:625.75pt;height:73.6pt;rotation:315;z-index:-251653120;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ECC3F" w14:textId="7877A2A4" w:rsidR="00F34746" w:rsidRDefault="00000000">
    <w:pPr>
      <w:pStyle w:val="Zhlav"/>
      <w:jc w:val="right"/>
    </w:pPr>
    <w:r>
      <w:rPr>
        <w:noProof/>
      </w:rPr>
      <w:pict w14:anchorId="3D6C2296">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89044892" o:spid="_x0000_s1027" type="#_x0000_t136" style="position:absolute;left:0;text-align:left;margin-left:0;margin-top:0;width:625.75pt;height:73.6pt;rotation:315;z-index:-251651072;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ČSN EN 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D2212" w14:textId="2E564393" w:rsidR="007763A6" w:rsidRDefault="00000000">
    <w:pPr>
      <w:pStyle w:val="Zhlav"/>
    </w:pPr>
    <w:r>
      <w:rPr>
        <w:noProof/>
      </w:rPr>
      <w:pict w14:anchorId="3ED28C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89044890" o:spid="_x0000_s1025" type="#_x0000_t136" style="position:absolute;left:0;text-align:left;margin-left:0;margin-top:0;width:625.75pt;height:73.6pt;rotation:315;z-index:-25165516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B79A0F" w14:textId="33B791D4" w:rsidR="00F34746" w:rsidRDefault="00000000">
    <w:pPr>
      <w:pStyle w:val="Zhlav"/>
    </w:pPr>
    <w:r>
      <w:rPr>
        <w:noProof/>
      </w:rPr>
      <w:pict w14:anchorId="7697AC3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89044894" o:spid="_x0000_s1029" type="#_x0000_t136" style="position:absolute;left:0;text-align:left;margin-left:0;margin-top:0;width:625.75pt;height:73.6pt;rotation:315;z-index:-251646976;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F34746">
      <w:t xml:space="preserve">ČSN </w:t>
    </w:r>
    <w:r w:rsidR="00A76402">
      <w:t>IEC 60050-195</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F45EE" w14:textId="3BD39F0F" w:rsidR="00F34746" w:rsidRDefault="00000000">
    <w:pPr>
      <w:pStyle w:val="Zhlav"/>
      <w:jc w:val="right"/>
    </w:pPr>
    <w:r>
      <w:rPr>
        <w:noProof/>
      </w:rPr>
      <w:pict w14:anchorId="6F30BD1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89044895" o:spid="_x0000_s1030" type="#_x0000_t136" style="position:absolute;left:0;text-align:left;margin-left:0;margin-top:0;width:625.75pt;height:73.6pt;rotation:315;z-index:-251644928;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r w:rsidR="00A76402">
      <w:t>ČSN IEC 60050-195</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03A7D1" w14:textId="731C0956" w:rsidR="007763A6" w:rsidRDefault="00000000">
    <w:pPr>
      <w:pStyle w:val="Zhlav"/>
    </w:pPr>
    <w:r>
      <w:rPr>
        <w:noProof/>
      </w:rPr>
      <w:pict w14:anchorId="76A6ABD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89044893" o:spid="_x0000_s1028" type="#_x0000_t136" style="position:absolute;left:0;text-align:left;margin-left:0;margin-top:0;width:625.75pt;height:73.6pt;rotation:315;z-index:-251649024;mso-position-horizontal:center;mso-position-horizontal-relative:margin;mso-position-vertical:center;mso-position-vertical-relative:margin" o:allowincell="f" fillcolor="#00b0f0" stroked="f">
          <v:fill opacity=".5"/>
          <v:textpath style="font-family:&quot;Arial&quot;;font-size:1pt" string="METODICKÝ VZOR"/>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330492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A54AC8E"/>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2C64551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1C0AEE1C"/>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5F7A27D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4F18B53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16644F88"/>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B54831A"/>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9"/>
    <w:multiLevelType w:val="singleLevel"/>
    <w:tmpl w:val="A58424E4"/>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05902557"/>
    <w:multiLevelType w:val="singleLevel"/>
    <w:tmpl w:val="62C2396E"/>
    <w:lvl w:ilvl="0">
      <w:start w:val="1"/>
      <w:numFmt w:val="bullet"/>
      <w:pStyle w:val="Seznamvnorm"/>
      <w:lvlText w:val="–"/>
      <w:lvlJc w:val="left"/>
      <w:pPr>
        <w:tabs>
          <w:tab w:val="num" w:pos="360"/>
        </w:tabs>
        <w:ind w:left="283" w:hanging="283"/>
      </w:pPr>
      <w:rPr>
        <w:rFonts w:ascii="Arial" w:hAnsi="Arial" w:hint="default"/>
      </w:rPr>
    </w:lvl>
  </w:abstractNum>
  <w:abstractNum w:abstractNumId="10" w15:restartNumberingAfterBreak="0">
    <w:nsid w:val="089561A9"/>
    <w:multiLevelType w:val="singleLevel"/>
    <w:tmpl w:val="FA08913A"/>
    <w:lvl w:ilvl="0">
      <w:start w:val="1"/>
      <w:numFmt w:val="lowerLetter"/>
      <w:pStyle w:val="ABCSeznamUS"/>
      <w:lvlText w:val="%1)"/>
      <w:lvlJc w:val="left"/>
      <w:pPr>
        <w:tabs>
          <w:tab w:val="num" w:pos="360"/>
        </w:tabs>
        <w:ind w:left="284" w:hanging="284"/>
      </w:pPr>
    </w:lvl>
  </w:abstractNum>
  <w:abstractNum w:abstractNumId="11" w15:restartNumberingAfterBreak="0">
    <w:nsid w:val="0A0C0D87"/>
    <w:multiLevelType w:val="singleLevel"/>
    <w:tmpl w:val="476C6820"/>
    <w:lvl w:ilvl="0">
      <w:start w:val="1"/>
      <w:numFmt w:val="decimal"/>
      <w:pStyle w:val="bibliografie"/>
      <w:lvlText w:val="[%1]"/>
      <w:lvlJc w:val="left"/>
      <w:pPr>
        <w:tabs>
          <w:tab w:val="num" w:pos="360"/>
        </w:tabs>
        <w:ind w:left="360" w:hanging="360"/>
      </w:pPr>
    </w:lvl>
  </w:abstractNum>
  <w:abstractNum w:abstractNumId="12" w15:restartNumberingAfterBreak="0">
    <w:nsid w:val="1D7C586E"/>
    <w:multiLevelType w:val="multilevel"/>
    <w:tmpl w:val="0405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3" w15:restartNumberingAfterBreak="0">
    <w:nsid w:val="2F07697F"/>
    <w:multiLevelType w:val="multilevel"/>
    <w:tmpl w:val="0405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46166F52"/>
    <w:multiLevelType w:val="singleLevel"/>
    <w:tmpl w:val="04882B2A"/>
    <w:lvl w:ilvl="0">
      <w:start w:val="1"/>
      <w:numFmt w:val="decimal"/>
      <w:pStyle w:val="slovanseznam"/>
      <w:lvlText w:val="%1."/>
      <w:legacy w:legacy="1" w:legacySpace="0" w:legacyIndent="283"/>
      <w:lvlJc w:val="left"/>
      <w:pPr>
        <w:ind w:left="283" w:hanging="283"/>
      </w:pPr>
    </w:lvl>
  </w:abstractNum>
  <w:abstractNum w:abstractNumId="15" w15:restartNumberingAfterBreak="0">
    <w:nsid w:val="49266AB7"/>
    <w:multiLevelType w:val="singleLevel"/>
    <w:tmpl w:val="67E67A1E"/>
    <w:lvl w:ilvl="0">
      <w:start w:val="1"/>
      <w:numFmt w:val="decimal"/>
      <w:pStyle w:val="slovanseznamvnorm"/>
      <w:lvlText w:val="%1)"/>
      <w:lvlJc w:val="left"/>
      <w:pPr>
        <w:tabs>
          <w:tab w:val="num" w:pos="360"/>
        </w:tabs>
        <w:ind w:left="284" w:hanging="284"/>
      </w:pPr>
    </w:lvl>
  </w:abstractNum>
  <w:abstractNum w:abstractNumId="16" w15:restartNumberingAfterBreak="0">
    <w:nsid w:val="4D38168C"/>
    <w:multiLevelType w:val="singleLevel"/>
    <w:tmpl w:val="6802948C"/>
    <w:lvl w:ilvl="0">
      <w:start w:val="1"/>
      <w:numFmt w:val="decimal"/>
      <w:lvlText w:val="%1"/>
      <w:legacy w:legacy="1" w:legacySpace="0" w:legacyIndent="283"/>
      <w:lvlJc w:val="left"/>
    </w:lvl>
  </w:abstractNum>
  <w:abstractNum w:abstractNumId="17" w15:restartNumberingAfterBreak="0">
    <w:nsid w:val="53177262"/>
    <w:multiLevelType w:val="singleLevel"/>
    <w:tmpl w:val="17569860"/>
    <w:lvl w:ilvl="0">
      <w:start w:val="1"/>
      <w:numFmt w:val="lowerLetter"/>
      <w:pStyle w:val="Abecednseznam"/>
      <w:lvlText w:val="%1)"/>
      <w:lvlJc w:val="left"/>
      <w:pPr>
        <w:tabs>
          <w:tab w:val="num" w:pos="360"/>
        </w:tabs>
        <w:ind w:left="284" w:hanging="284"/>
      </w:pPr>
    </w:lvl>
  </w:abstractNum>
  <w:abstractNum w:abstractNumId="18" w15:restartNumberingAfterBreak="0">
    <w:nsid w:val="59712010"/>
    <w:multiLevelType w:val="hybridMultilevel"/>
    <w:tmpl w:val="9A8211B0"/>
    <w:lvl w:ilvl="0" w:tplc="04050001">
      <w:start w:val="1"/>
      <w:numFmt w:val="bullet"/>
      <w:lvlText w:val=""/>
      <w:lvlJc w:val="left"/>
      <w:pPr>
        <w:ind w:left="720" w:hanging="360"/>
      </w:pPr>
      <w:rPr>
        <w:rFonts w:ascii="Symbol" w:hAnsi="Symbol"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9" w15:restartNumberingAfterBreak="0">
    <w:nsid w:val="61AD6E9E"/>
    <w:multiLevelType w:val="hybridMultilevel"/>
    <w:tmpl w:val="FAE4B166"/>
    <w:lvl w:ilvl="0" w:tplc="04050001">
      <w:start w:val="1"/>
      <w:numFmt w:val="bullet"/>
      <w:lvlText w:val=""/>
      <w:lvlJc w:val="left"/>
      <w:pPr>
        <w:ind w:left="360" w:hanging="360"/>
      </w:pPr>
      <w:rPr>
        <w:rFonts w:ascii="Symbol" w:hAnsi="Symbol" w:hint="default"/>
      </w:rPr>
    </w:lvl>
    <w:lvl w:ilvl="1" w:tplc="04050003" w:tentative="1">
      <w:start w:val="1"/>
      <w:numFmt w:val="bullet"/>
      <w:lvlText w:val="o"/>
      <w:lvlJc w:val="left"/>
      <w:pPr>
        <w:ind w:left="1080" w:hanging="360"/>
      </w:pPr>
      <w:rPr>
        <w:rFonts w:ascii="Courier New" w:hAnsi="Courier New" w:cs="Courier New" w:hint="default"/>
      </w:rPr>
    </w:lvl>
    <w:lvl w:ilvl="2" w:tplc="04050005" w:tentative="1">
      <w:start w:val="1"/>
      <w:numFmt w:val="bullet"/>
      <w:lvlText w:val=""/>
      <w:lvlJc w:val="left"/>
      <w:pPr>
        <w:ind w:left="1800" w:hanging="360"/>
      </w:pPr>
      <w:rPr>
        <w:rFonts w:ascii="Wingdings" w:hAnsi="Wingdings" w:hint="default"/>
      </w:rPr>
    </w:lvl>
    <w:lvl w:ilvl="3" w:tplc="04050001" w:tentative="1">
      <w:start w:val="1"/>
      <w:numFmt w:val="bullet"/>
      <w:lvlText w:val=""/>
      <w:lvlJc w:val="left"/>
      <w:pPr>
        <w:ind w:left="2520" w:hanging="360"/>
      </w:pPr>
      <w:rPr>
        <w:rFonts w:ascii="Symbol" w:hAnsi="Symbol" w:hint="default"/>
      </w:rPr>
    </w:lvl>
    <w:lvl w:ilvl="4" w:tplc="04050003" w:tentative="1">
      <w:start w:val="1"/>
      <w:numFmt w:val="bullet"/>
      <w:lvlText w:val="o"/>
      <w:lvlJc w:val="left"/>
      <w:pPr>
        <w:ind w:left="3240" w:hanging="360"/>
      </w:pPr>
      <w:rPr>
        <w:rFonts w:ascii="Courier New" w:hAnsi="Courier New" w:cs="Courier New" w:hint="default"/>
      </w:rPr>
    </w:lvl>
    <w:lvl w:ilvl="5" w:tplc="04050005" w:tentative="1">
      <w:start w:val="1"/>
      <w:numFmt w:val="bullet"/>
      <w:lvlText w:val=""/>
      <w:lvlJc w:val="left"/>
      <w:pPr>
        <w:ind w:left="3960" w:hanging="360"/>
      </w:pPr>
      <w:rPr>
        <w:rFonts w:ascii="Wingdings" w:hAnsi="Wingdings" w:hint="default"/>
      </w:rPr>
    </w:lvl>
    <w:lvl w:ilvl="6" w:tplc="04050001" w:tentative="1">
      <w:start w:val="1"/>
      <w:numFmt w:val="bullet"/>
      <w:lvlText w:val=""/>
      <w:lvlJc w:val="left"/>
      <w:pPr>
        <w:ind w:left="4680" w:hanging="360"/>
      </w:pPr>
      <w:rPr>
        <w:rFonts w:ascii="Symbol" w:hAnsi="Symbol" w:hint="default"/>
      </w:rPr>
    </w:lvl>
    <w:lvl w:ilvl="7" w:tplc="04050003" w:tentative="1">
      <w:start w:val="1"/>
      <w:numFmt w:val="bullet"/>
      <w:lvlText w:val="o"/>
      <w:lvlJc w:val="left"/>
      <w:pPr>
        <w:ind w:left="5400" w:hanging="360"/>
      </w:pPr>
      <w:rPr>
        <w:rFonts w:ascii="Courier New" w:hAnsi="Courier New" w:cs="Courier New" w:hint="default"/>
      </w:rPr>
    </w:lvl>
    <w:lvl w:ilvl="8" w:tplc="04050005" w:tentative="1">
      <w:start w:val="1"/>
      <w:numFmt w:val="bullet"/>
      <w:lvlText w:val=""/>
      <w:lvlJc w:val="left"/>
      <w:pPr>
        <w:ind w:left="6120" w:hanging="360"/>
      </w:pPr>
      <w:rPr>
        <w:rFonts w:ascii="Wingdings" w:hAnsi="Wingdings" w:hint="default"/>
      </w:rPr>
    </w:lvl>
  </w:abstractNum>
  <w:abstractNum w:abstractNumId="20" w15:restartNumberingAfterBreak="0">
    <w:nsid w:val="7D3C38DE"/>
    <w:multiLevelType w:val="singleLevel"/>
    <w:tmpl w:val="AA88CE04"/>
    <w:lvl w:ilvl="0">
      <w:start w:val="1"/>
      <w:numFmt w:val="lowerLetter"/>
      <w:pStyle w:val="ABCseznamCZ"/>
      <w:lvlText w:val="%1)"/>
      <w:legacy w:legacy="1" w:legacySpace="0" w:legacyIndent="283"/>
      <w:lvlJc w:val="left"/>
      <w:pPr>
        <w:ind w:left="283" w:hanging="283"/>
      </w:pPr>
    </w:lvl>
  </w:abstractNum>
  <w:num w:numId="1" w16cid:durableId="1155141629">
    <w:abstractNumId w:val="16"/>
  </w:num>
  <w:num w:numId="2" w16cid:durableId="1454397115">
    <w:abstractNumId w:val="10"/>
    <w:lvlOverride w:ilvl="0">
      <w:startOverride w:val="1"/>
    </w:lvlOverride>
  </w:num>
  <w:num w:numId="3" w16cid:durableId="527530224">
    <w:abstractNumId w:val="17"/>
  </w:num>
  <w:num w:numId="4" w16cid:durableId="1388531151">
    <w:abstractNumId w:val="14"/>
  </w:num>
  <w:num w:numId="5" w16cid:durableId="1496142133">
    <w:abstractNumId w:val="15"/>
  </w:num>
  <w:num w:numId="6" w16cid:durableId="1855873978">
    <w:abstractNumId w:val="9"/>
  </w:num>
  <w:num w:numId="7" w16cid:durableId="2092583415">
    <w:abstractNumId w:val="10"/>
  </w:num>
  <w:num w:numId="8" w16cid:durableId="1092049452">
    <w:abstractNumId w:val="20"/>
  </w:num>
  <w:num w:numId="9" w16cid:durableId="1081024327">
    <w:abstractNumId w:val="20"/>
    <w:lvlOverride w:ilvl="0">
      <w:startOverride w:val="1"/>
    </w:lvlOverride>
  </w:num>
  <w:num w:numId="10" w16cid:durableId="1201550912">
    <w:abstractNumId w:val="11"/>
  </w:num>
  <w:num w:numId="11" w16cid:durableId="1951860126">
    <w:abstractNumId w:val="20"/>
  </w:num>
  <w:num w:numId="12" w16cid:durableId="1026833784">
    <w:abstractNumId w:val="10"/>
  </w:num>
  <w:num w:numId="13" w16cid:durableId="899093858">
    <w:abstractNumId w:val="17"/>
  </w:num>
  <w:num w:numId="14" w16cid:durableId="1017081887">
    <w:abstractNumId w:val="15"/>
  </w:num>
  <w:num w:numId="15" w16cid:durableId="1103839969">
    <w:abstractNumId w:val="11"/>
  </w:num>
  <w:num w:numId="16" w16cid:durableId="2030909775">
    <w:abstractNumId w:val="14"/>
  </w:num>
  <w:num w:numId="17" w16cid:durableId="1381202006">
    <w:abstractNumId w:val="9"/>
  </w:num>
  <w:num w:numId="18" w16cid:durableId="247154332">
    <w:abstractNumId w:val="20"/>
  </w:num>
  <w:num w:numId="19" w16cid:durableId="946699596">
    <w:abstractNumId w:val="10"/>
  </w:num>
  <w:num w:numId="20" w16cid:durableId="1308898219">
    <w:abstractNumId w:val="17"/>
  </w:num>
  <w:num w:numId="21" w16cid:durableId="79185658">
    <w:abstractNumId w:val="15"/>
  </w:num>
  <w:num w:numId="22" w16cid:durableId="1065449360">
    <w:abstractNumId w:val="11"/>
  </w:num>
  <w:num w:numId="23" w16cid:durableId="1009409566">
    <w:abstractNumId w:val="14"/>
  </w:num>
  <w:num w:numId="24" w16cid:durableId="178739294">
    <w:abstractNumId w:val="9"/>
  </w:num>
  <w:num w:numId="25" w16cid:durableId="1090082445">
    <w:abstractNumId w:val="20"/>
  </w:num>
  <w:num w:numId="26" w16cid:durableId="921646072">
    <w:abstractNumId w:val="10"/>
  </w:num>
  <w:num w:numId="27" w16cid:durableId="347174794">
    <w:abstractNumId w:val="17"/>
  </w:num>
  <w:num w:numId="28" w16cid:durableId="1164662800">
    <w:abstractNumId w:val="15"/>
  </w:num>
  <w:num w:numId="29" w16cid:durableId="1075517676">
    <w:abstractNumId w:val="11"/>
  </w:num>
  <w:num w:numId="30" w16cid:durableId="580453979">
    <w:abstractNumId w:val="14"/>
  </w:num>
  <w:num w:numId="31" w16cid:durableId="614093803">
    <w:abstractNumId w:val="9"/>
  </w:num>
  <w:num w:numId="32" w16cid:durableId="1960454178">
    <w:abstractNumId w:val="14"/>
  </w:num>
  <w:num w:numId="33" w16cid:durableId="927887107">
    <w:abstractNumId w:val="11"/>
  </w:num>
  <w:num w:numId="34" w16cid:durableId="534194520">
    <w:abstractNumId w:val="20"/>
  </w:num>
  <w:num w:numId="35" w16cid:durableId="1494298377">
    <w:abstractNumId w:val="15"/>
  </w:num>
  <w:num w:numId="36" w16cid:durableId="1983462604">
    <w:abstractNumId w:val="9"/>
  </w:num>
  <w:num w:numId="37" w16cid:durableId="1797407832">
    <w:abstractNumId w:val="17"/>
  </w:num>
  <w:num w:numId="38" w16cid:durableId="1387073117">
    <w:abstractNumId w:val="10"/>
  </w:num>
  <w:num w:numId="39" w16cid:durableId="984511991">
    <w:abstractNumId w:val="11"/>
  </w:num>
  <w:num w:numId="40" w16cid:durableId="1145512250">
    <w:abstractNumId w:val="13"/>
  </w:num>
  <w:num w:numId="41" w16cid:durableId="32577242">
    <w:abstractNumId w:val="12"/>
  </w:num>
  <w:num w:numId="42" w16cid:durableId="1071271619">
    <w:abstractNumId w:val="0"/>
  </w:num>
  <w:num w:numId="43" w16cid:durableId="877207532">
    <w:abstractNumId w:val="1"/>
  </w:num>
  <w:num w:numId="44" w16cid:durableId="1247150972">
    <w:abstractNumId w:val="3"/>
  </w:num>
  <w:num w:numId="45" w16cid:durableId="305015649">
    <w:abstractNumId w:val="2"/>
  </w:num>
  <w:num w:numId="46" w16cid:durableId="1270235517">
    <w:abstractNumId w:val="8"/>
  </w:num>
  <w:num w:numId="47" w16cid:durableId="2092849570">
    <w:abstractNumId w:val="7"/>
  </w:num>
  <w:num w:numId="48" w16cid:durableId="1927571443">
    <w:abstractNumId w:val="6"/>
  </w:num>
  <w:num w:numId="49" w16cid:durableId="1002392837">
    <w:abstractNumId w:val="5"/>
  </w:num>
  <w:num w:numId="50" w16cid:durableId="990214381">
    <w:abstractNumId w:val="4"/>
  </w:num>
  <w:num w:numId="51" w16cid:durableId="363948797">
    <w:abstractNumId w:val="18"/>
  </w:num>
  <w:num w:numId="52" w16cid:durableId="2049642759">
    <w:abstractNumId w:val="19"/>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saveSubsetFonts/>
  <w:mirrorMargins/>
  <w:attachedTemplate r:id="rId1"/>
  <w:linkStyles/>
  <w:stylePaneFormatFilter w:val="7004" w:allStyles="0" w:customStyles="0" w:latentStyles="1" w:stylesInUse="0" w:headingStyles="0" w:numberingStyles="0" w:tableStyles="0" w:directFormattingOnRuns="0" w:directFormattingOnParagraphs="0" w:directFormattingOnNumbering="0" w:directFormattingOnTables="0" w:clearFormatting="1" w:top3HeadingStyles="1" w:visibleStyles="1" w:alternateStyleNames="0"/>
  <w:stylePaneSortMethod w:val="0000"/>
  <w:defaultTabStop w:val="709"/>
  <w:autoHyphenation/>
  <w:hyphenationZone w:val="425"/>
  <w:doNotHyphenateCaps/>
  <w:evenAndOddHeaders/>
  <w:displayHorizontalDrawingGridEvery w:val="0"/>
  <w:displayVerticalDrawingGridEvery w:val="0"/>
  <w:doNotUseMarginsForDrawingGridOrigin/>
  <w:noPunctuationKerning/>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2EBF"/>
    <w:rsid w:val="0002096B"/>
    <w:rsid w:val="00023481"/>
    <w:rsid w:val="00072F44"/>
    <w:rsid w:val="000C34A9"/>
    <w:rsid w:val="000D22A5"/>
    <w:rsid w:val="000D7198"/>
    <w:rsid w:val="000D7CC4"/>
    <w:rsid w:val="00103F06"/>
    <w:rsid w:val="00104C1B"/>
    <w:rsid w:val="0013039D"/>
    <w:rsid w:val="0013058D"/>
    <w:rsid w:val="00135415"/>
    <w:rsid w:val="001567EF"/>
    <w:rsid w:val="00194A2B"/>
    <w:rsid w:val="001B1B5E"/>
    <w:rsid w:val="001B63E7"/>
    <w:rsid w:val="001F5BE3"/>
    <w:rsid w:val="00210AAE"/>
    <w:rsid w:val="00231D91"/>
    <w:rsid w:val="00236AFC"/>
    <w:rsid w:val="0028489E"/>
    <w:rsid w:val="002B03AF"/>
    <w:rsid w:val="002B25EE"/>
    <w:rsid w:val="002D43DF"/>
    <w:rsid w:val="002F6A9A"/>
    <w:rsid w:val="00314F2D"/>
    <w:rsid w:val="00324304"/>
    <w:rsid w:val="00342659"/>
    <w:rsid w:val="00342A67"/>
    <w:rsid w:val="00361488"/>
    <w:rsid w:val="00361E7B"/>
    <w:rsid w:val="0037125D"/>
    <w:rsid w:val="0038646B"/>
    <w:rsid w:val="003C701A"/>
    <w:rsid w:val="004069CB"/>
    <w:rsid w:val="004127C5"/>
    <w:rsid w:val="00412CB3"/>
    <w:rsid w:val="004133C3"/>
    <w:rsid w:val="004159F3"/>
    <w:rsid w:val="00421B22"/>
    <w:rsid w:val="004307ED"/>
    <w:rsid w:val="00445C34"/>
    <w:rsid w:val="00446E7A"/>
    <w:rsid w:val="004634EE"/>
    <w:rsid w:val="004B223B"/>
    <w:rsid w:val="004C5D55"/>
    <w:rsid w:val="004D39AA"/>
    <w:rsid w:val="004D72BE"/>
    <w:rsid w:val="004F0AD7"/>
    <w:rsid w:val="00501A51"/>
    <w:rsid w:val="00503D98"/>
    <w:rsid w:val="005062B8"/>
    <w:rsid w:val="0055412A"/>
    <w:rsid w:val="00576ED5"/>
    <w:rsid w:val="0058308D"/>
    <w:rsid w:val="005B7E9A"/>
    <w:rsid w:val="005E3B21"/>
    <w:rsid w:val="005E6EAE"/>
    <w:rsid w:val="006A3382"/>
    <w:rsid w:val="006B04C9"/>
    <w:rsid w:val="006D2485"/>
    <w:rsid w:val="00734D06"/>
    <w:rsid w:val="007421F8"/>
    <w:rsid w:val="00763613"/>
    <w:rsid w:val="007763A6"/>
    <w:rsid w:val="00781609"/>
    <w:rsid w:val="00790EC5"/>
    <w:rsid w:val="007D7196"/>
    <w:rsid w:val="007E0F61"/>
    <w:rsid w:val="007E23F0"/>
    <w:rsid w:val="007F27A2"/>
    <w:rsid w:val="007F4A22"/>
    <w:rsid w:val="008072A3"/>
    <w:rsid w:val="00831B2F"/>
    <w:rsid w:val="008638F1"/>
    <w:rsid w:val="00872046"/>
    <w:rsid w:val="008A04E8"/>
    <w:rsid w:val="008A7D3C"/>
    <w:rsid w:val="008B478D"/>
    <w:rsid w:val="008C03BC"/>
    <w:rsid w:val="008E22B9"/>
    <w:rsid w:val="008F4369"/>
    <w:rsid w:val="008F51B6"/>
    <w:rsid w:val="0090499A"/>
    <w:rsid w:val="00923E20"/>
    <w:rsid w:val="0093110D"/>
    <w:rsid w:val="00931FE4"/>
    <w:rsid w:val="0095314E"/>
    <w:rsid w:val="00970283"/>
    <w:rsid w:val="00985D80"/>
    <w:rsid w:val="009C2A76"/>
    <w:rsid w:val="009E0658"/>
    <w:rsid w:val="009F2E2E"/>
    <w:rsid w:val="009F43A7"/>
    <w:rsid w:val="009F7C47"/>
    <w:rsid w:val="00A12852"/>
    <w:rsid w:val="00A3019F"/>
    <w:rsid w:val="00A76402"/>
    <w:rsid w:val="00A83EAB"/>
    <w:rsid w:val="00A848B2"/>
    <w:rsid w:val="00A90C34"/>
    <w:rsid w:val="00AA103F"/>
    <w:rsid w:val="00AB15EC"/>
    <w:rsid w:val="00B04A88"/>
    <w:rsid w:val="00B0640A"/>
    <w:rsid w:val="00B15709"/>
    <w:rsid w:val="00BB7770"/>
    <w:rsid w:val="00BC1FDE"/>
    <w:rsid w:val="00BE7844"/>
    <w:rsid w:val="00C02CD7"/>
    <w:rsid w:val="00C2107C"/>
    <w:rsid w:val="00C43BC8"/>
    <w:rsid w:val="00C87B8A"/>
    <w:rsid w:val="00C904AB"/>
    <w:rsid w:val="00CF1A53"/>
    <w:rsid w:val="00D20DAC"/>
    <w:rsid w:val="00D32EBF"/>
    <w:rsid w:val="00D35BBC"/>
    <w:rsid w:val="00D52E41"/>
    <w:rsid w:val="00D53D67"/>
    <w:rsid w:val="00D54402"/>
    <w:rsid w:val="00D64213"/>
    <w:rsid w:val="00D85849"/>
    <w:rsid w:val="00D91734"/>
    <w:rsid w:val="00DA1989"/>
    <w:rsid w:val="00DA1E9C"/>
    <w:rsid w:val="00DD0898"/>
    <w:rsid w:val="00DD11C8"/>
    <w:rsid w:val="00DE2529"/>
    <w:rsid w:val="00DE412B"/>
    <w:rsid w:val="00E12D49"/>
    <w:rsid w:val="00E1570A"/>
    <w:rsid w:val="00E173FC"/>
    <w:rsid w:val="00E22981"/>
    <w:rsid w:val="00E54908"/>
    <w:rsid w:val="00E64DC6"/>
    <w:rsid w:val="00E66D54"/>
    <w:rsid w:val="00E74C26"/>
    <w:rsid w:val="00EB1FEE"/>
    <w:rsid w:val="00EB675D"/>
    <w:rsid w:val="00F14D8A"/>
    <w:rsid w:val="00F3350F"/>
    <w:rsid w:val="00F34746"/>
    <w:rsid w:val="00F415E7"/>
    <w:rsid w:val="00F65C05"/>
    <w:rsid w:val="00F74691"/>
    <w:rsid w:val="00F77831"/>
    <w:rsid w:val="00F95F6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66541B3"/>
  <w15:chartTrackingRefBased/>
  <w15:docId w15:val="{C178B9A5-22F3-4A0F-98F9-66F4FA01A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imes New Roman" w:hAnsi="Arial" w:cs="Times New Roman"/>
        <w:lang w:val="cs-CZ" w:eastAsia="cs-CZ"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4" w:uiPriority="39"/>
    <w:lsdException w:name="toc 5" w:semiHidden="1" w:unhideWhenUsed="1"/>
    <w:lsdException w:name="Normal Indent"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lin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qFormat="1"/>
    <w:lsdException w:name="Closing" w:semiHidden="1" w:unhideWhenUsed="1"/>
    <w:lsdException w:name="Signature" w:semiHidden="1" w:unhideWhenUsed="1"/>
    <w:lsdException w:name="Default Paragraph Font" w:uiPriority="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semiHidden="1" w:unhideWhenUsed="1" w:qFormat="1"/>
    <w:lsdException w:name="Emphasis" w:semiHidden="1" w:unhideWhenUsed="1" w:qFormat="1"/>
    <w:lsdException w:name="Document Map" w:semiHidden="1" w:unhideWhenUsed="1"/>
    <w:lsdException w:name="Plain Text" w:semiHidden="1" w:unhideWhenUsed="1"/>
    <w:lsdException w:name="E-mail Signature"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ln">
    <w:name w:val="Normal"/>
    <w:qFormat/>
    <w:rsid w:val="00E66D54"/>
  </w:style>
  <w:style w:type="paragraph" w:styleId="Nadpis1">
    <w:name w:val="heading 1"/>
    <w:basedOn w:val="Nadpiskapitoly"/>
    <w:next w:val="Textnormy"/>
    <w:link w:val="Nadpis1Char"/>
    <w:qFormat/>
    <w:rsid w:val="00E66D54"/>
    <w:pPr>
      <w:outlineLvl w:val="0"/>
    </w:pPr>
  </w:style>
  <w:style w:type="paragraph" w:styleId="Nadpis2">
    <w:name w:val="heading 2"/>
    <w:basedOn w:val="Nadpislnku"/>
    <w:next w:val="Textnormy"/>
    <w:qFormat/>
    <w:rsid w:val="00E66D54"/>
    <w:pPr>
      <w:outlineLvl w:val="1"/>
    </w:pPr>
  </w:style>
  <w:style w:type="paragraph" w:styleId="Nadpis3">
    <w:name w:val="heading 3"/>
    <w:basedOn w:val="Nadpislnku"/>
    <w:next w:val="Textnormy"/>
    <w:qFormat/>
    <w:rsid w:val="00E66D54"/>
    <w:pPr>
      <w:outlineLvl w:val="2"/>
    </w:pPr>
  </w:style>
  <w:style w:type="paragraph" w:styleId="Nadpis4">
    <w:name w:val="heading 4"/>
    <w:basedOn w:val="Nadpislnku"/>
    <w:next w:val="Textnormy"/>
    <w:qFormat/>
    <w:rsid w:val="00E66D54"/>
    <w:pPr>
      <w:outlineLvl w:val="3"/>
    </w:pPr>
  </w:style>
  <w:style w:type="paragraph" w:styleId="Nadpis5">
    <w:name w:val="heading 5"/>
    <w:basedOn w:val="Nadpislnku"/>
    <w:next w:val="Textnormy"/>
    <w:unhideWhenUsed/>
    <w:qFormat/>
    <w:rsid w:val="00E66D54"/>
    <w:pPr>
      <w:outlineLvl w:val="4"/>
    </w:pPr>
  </w:style>
  <w:style w:type="paragraph" w:styleId="Nadpis6">
    <w:name w:val="heading 6"/>
    <w:basedOn w:val="Nadpislnku"/>
    <w:next w:val="Textnormy"/>
    <w:unhideWhenUsed/>
    <w:qFormat/>
    <w:rsid w:val="00E66D54"/>
    <w:pPr>
      <w:outlineLvl w:val="5"/>
    </w:pPr>
  </w:style>
  <w:style w:type="paragraph" w:styleId="Nadpis7">
    <w:name w:val="heading 7"/>
    <w:basedOn w:val="Nadpislnku"/>
    <w:next w:val="Textnormy"/>
    <w:unhideWhenUsed/>
    <w:qFormat/>
    <w:rsid w:val="00E66D54"/>
    <w:pPr>
      <w:outlineLvl w:val="6"/>
    </w:pPr>
  </w:style>
  <w:style w:type="paragraph" w:styleId="Nadpis8">
    <w:name w:val="heading 8"/>
    <w:basedOn w:val="Nadpislnku"/>
    <w:next w:val="Textnormy"/>
    <w:unhideWhenUsed/>
    <w:qFormat/>
    <w:rsid w:val="00E66D54"/>
    <w:pPr>
      <w:outlineLvl w:val="7"/>
    </w:pPr>
  </w:style>
  <w:style w:type="paragraph" w:styleId="Nadpis9">
    <w:name w:val="heading 9"/>
    <w:basedOn w:val="Nadpislnku"/>
    <w:next w:val="Textnormy"/>
    <w:unhideWhenUsed/>
    <w:qFormat/>
    <w:rsid w:val="00E66D54"/>
    <w:pPr>
      <w:outlineLvl w:val="8"/>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Nadpiskapitoly">
    <w:name w:val="Nadpis kapitoly"/>
    <w:basedOn w:val="Nadpislnku"/>
    <w:next w:val="Textnormy"/>
    <w:rsid w:val="00E66D54"/>
    <w:pPr>
      <w:spacing w:before="360" w:after="180"/>
    </w:pPr>
    <w:rPr>
      <w:sz w:val="24"/>
    </w:rPr>
  </w:style>
  <w:style w:type="paragraph" w:customStyle="1" w:styleId="Nadpislnku">
    <w:name w:val="Nadpis článku"/>
    <w:basedOn w:val="Textnormy"/>
    <w:next w:val="Textnormy"/>
    <w:link w:val="NadpislnkuChar"/>
    <w:rsid w:val="00E66D54"/>
    <w:pPr>
      <w:keepNext/>
      <w:keepLines/>
      <w:suppressAutoHyphens/>
      <w:spacing w:before="240"/>
      <w:jc w:val="left"/>
    </w:pPr>
    <w:rPr>
      <w:b/>
    </w:rPr>
  </w:style>
  <w:style w:type="paragraph" w:customStyle="1" w:styleId="Textnormy">
    <w:name w:val="Text normy"/>
    <w:link w:val="TextnormyChar1"/>
    <w:rsid w:val="00E66D54"/>
    <w:pPr>
      <w:spacing w:after="120"/>
      <w:jc w:val="both"/>
    </w:pPr>
  </w:style>
  <w:style w:type="paragraph" w:customStyle="1" w:styleId="1StrTrZn">
    <w:name w:val="1StrTrZn"/>
    <w:basedOn w:val="Textnormy"/>
    <w:rsid w:val="00E66D54"/>
    <w:pPr>
      <w:spacing w:before="80" w:after="80" w:line="340" w:lineRule="exact"/>
      <w:jc w:val="left"/>
    </w:pPr>
    <w:rPr>
      <w:sz w:val="28"/>
    </w:rPr>
  </w:style>
  <w:style w:type="paragraph" w:customStyle="1" w:styleId="1StrNN-2-23">
    <w:name w:val="1StrNN-2-23"/>
    <w:basedOn w:val="1StrNN-1-23"/>
    <w:rsid w:val="00E66D54"/>
    <w:pPr>
      <w:spacing w:before="480"/>
    </w:pPr>
  </w:style>
  <w:style w:type="paragraph" w:customStyle="1" w:styleId="1StrNN-1-23">
    <w:name w:val="1StrNN-1-23"/>
    <w:basedOn w:val="Textnormy"/>
    <w:rsid w:val="00E66D54"/>
    <w:pPr>
      <w:widowControl w:val="0"/>
      <w:suppressAutoHyphens/>
      <w:spacing w:before="640" w:after="0" w:line="340" w:lineRule="exact"/>
      <w:ind w:right="567"/>
      <w:jc w:val="left"/>
    </w:pPr>
    <w:rPr>
      <w:b/>
      <w:sz w:val="28"/>
    </w:rPr>
  </w:style>
  <w:style w:type="paragraph" w:customStyle="1" w:styleId="Cizojazynnzev">
    <w:name w:val="Cizojazyčný název"/>
    <w:basedOn w:val="Textnormy"/>
    <w:rsid w:val="00E66D54"/>
    <w:pPr>
      <w:widowControl w:val="0"/>
      <w:suppressAutoHyphens/>
      <w:jc w:val="left"/>
    </w:pPr>
    <w:rPr>
      <w:sz w:val="18"/>
      <w:lang w:val="en-GB"/>
    </w:rPr>
  </w:style>
  <w:style w:type="paragraph" w:styleId="slovanseznam">
    <w:name w:val="List Number"/>
    <w:basedOn w:val="Textnormy"/>
    <w:rsid w:val="00E66D54"/>
    <w:pPr>
      <w:numPr>
        <w:numId w:val="4"/>
      </w:numPr>
      <w:ind w:left="284" w:hanging="284"/>
    </w:pPr>
  </w:style>
  <w:style w:type="paragraph" w:styleId="Rejstk1">
    <w:name w:val="index 1"/>
    <w:basedOn w:val="Textnormy"/>
    <w:next w:val="Textnormy"/>
    <w:rsid w:val="00E66D54"/>
    <w:pPr>
      <w:tabs>
        <w:tab w:val="right" w:pos="9923"/>
      </w:tabs>
      <w:spacing w:after="60"/>
      <w:ind w:left="198" w:hanging="198"/>
      <w:jc w:val="left"/>
    </w:pPr>
    <w:rPr>
      <w:sz w:val="18"/>
    </w:rPr>
  </w:style>
  <w:style w:type="paragraph" w:customStyle="1" w:styleId="Shodnost">
    <w:name w:val="Shodnost"/>
    <w:basedOn w:val="Textnormy"/>
    <w:next w:val="Textnormy"/>
    <w:rsid w:val="00E66D54"/>
    <w:pPr>
      <w:keepNext/>
      <w:keepLines/>
      <w:spacing w:before="240" w:after="360"/>
      <w:jc w:val="right"/>
    </w:pPr>
    <w:rPr>
      <w:sz w:val="28"/>
    </w:rPr>
  </w:style>
  <w:style w:type="character" w:styleId="slostrnky">
    <w:name w:val="page number"/>
    <w:basedOn w:val="Standardnpsmoodstavce"/>
    <w:rsid w:val="00E66D54"/>
    <w:rPr>
      <w:rFonts w:ascii="Arial" w:hAnsi="Arial"/>
      <w:sz w:val="18"/>
    </w:rPr>
  </w:style>
  <w:style w:type="paragraph" w:customStyle="1" w:styleId="Poznmka">
    <w:name w:val="Poznámka"/>
    <w:basedOn w:val="Textnormy"/>
    <w:next w:val="Textnormy"/>
    <w:link w:val="PoznmkaChar"/>
    <w:rsid w:val="00E66D54"/>
    <w:pPr>
      <w:spacing w:before="200" w:after="200"/>
    </w:pPr>
    <w:rPr>
      <w:sz w:val="18"/>
    </w:rPr>
  </w:style>
  <w:style w:type="paragraph" w:customStyle="1" w:styleId="Seznampoznmek">
    <w:name w:val="Seznam poznámek"/>
    <w:basedOn w:val="Poznmka"/>
    <w:rsid w:val="00E66D54"/>
    <w:pPr>
      <w:spacing w:before="0" w:after="120"/>
      <w:ind w:left="284" w:hanging="284"/>
    </w:pPr>
  </w:style>
  <w:style w:type="paragraph" w:styleId="Zhlav">
    <w:name w:val="header"/>
    <w:basedOn w:val="Textnormy"/>
    <w:rsid w:val="00E66D54"/>
    <w:pPr>
      <w:spacing w:after="360"/>
    </w:pPr>
    <w:rPr>
      <w:sz w:val="18"/>
    </w:rPr>
  </w:style>
  <w:style w:type="paragraph" w:styleId="Zpat">
    <w:name w:val="footer"/>
    <w:basedOn w:val="Textnormy"/>
    <w:rsid w:val="00E66D54"/>
    <w:pPr>
      <w:jc w:val="center"/>
    </w:pPr>
    <w:rPr>
      <w:sz w:val="18"/>
    </w:rPr>
  </w:style>
  <w:style w:type="paragraph" w:styleId="Zkladntext">
    <w:name w:val="Body Text"/>
    <w:basedOn w:val="Normln"/>
    <w:link w:val="ZkladntextChar"/>
    <w:semiHidden/>
    <w:rsid w:val="00E66D54"/>
    <w:pPr>
      <w:spacing w:after="120"/>
    </w:pPr>
  </w:style>
  <w:style w:type="paragraph" w:styleId="Obsah2">
    <w:name w:val="toc 2"/>
    <w:basedOn w:val="Obsah1"/>
    <w:next w:val="Textnormy"/>
    <w:uiPriority w:val="39"/>
    <w:rsid w:val="00E66D54"/>
  </w:style>
  <w:style w:type="paragraph" w:styleId="Obsah1">
    <w:name w:val="toc 1"/>
    <w:basedOn w:val="Textnormy"/>
    <w:next w:val="Textnormy"/>
    <w:uiPriority w:val="39"/>
    <w:rsid w:val="00E66D54"/>
    <w:pPr>
      <w:tabs>
        <w:tab w:val="right" w:leader="dot" w:pos="9923"/>
      </w:tabs>
      <w:ind w:left="567" w:hanging="567"/>
      <w:jc w:val="left"/>
    </w:pPr>
    <w:rPr>
      <w:noProof/>
      <w:sz w:val="18"/>
    </w:rPr>
  </w:style>
  <w:style w:type="paragraph" w:customStyle="1" w:styleId="bibliografie">
    <w:name w:val="bibliografie"/>
    <w:basedOn w:val="slovanseznamvnorm"/>
    <w:next w:val="Textnormy"/>
    <w:rsid w:val="00E66D54"/>
    <w:pPr>
      <w:numPr>
        <w:numId w:val="10"/>
      </w:numPr>
    </w:pPr>
  </w:style>
  <w:style w:type="paragraph" w:styleId="Obsah3">
    <w:name w:val="toc 3"/>
    <w:basedOn w:val="Obsah1"/>
    <w:next w:val="Textnormy"/>
    <w:rsid w:val="00E66D54"/>
  </w:style>
  <w:style w:type="paragraph" w:styleId="Obsah4">
    <w:name w:val="toc 4"/>
    <w:basedOn w:val="Obsah1"/>
    <w:next w:val="Textnormy"/>
    <w:uiPriority w:val="39"/>
    <w:rsid w:val="00E66D54"/>
  </w:style>
  <w:style w:type="paragraph" w:styleId="Obsah6">
    <w:name w:val="toc 6"/>
    <w:basedOn w:val="Obsah1"/>
    <w:next w:val="Textnormy"/>
    <w:rsid w:val="00E66D54"/>
  </w:style>
  <w:style w:type="paragraph" w:styleId="Obsah7">
    <w:name w:val="toc 7"/>
    <w:basedOn w:val="Obsah1"/>
    <w:next w:val="Textnormy"/>
    <w:semiHidden/>
    <w:rsid w:val="00E66D54"/>
  </w:style>
  <w:style w:type="paragraph" w:styleId="Obsah8">
    <w:name w:val="toc 8"/>
    <w:basedOn w:val="Obsah1"/>
    <w:next w:val="Textnormy"/>
    <w:semiHidden/>
    <w:rsid w:val="00E66D54"/>
  </w:style>
  <w:style w:type="character" w:styleId="Znakapoznpodarou">
    <w:name w:val="footnote reference"/>
    <w:basedOn w:val="Standardnpsmoodstavce"/>
    <w:rsid w:val="00E66D54"/>
    <w:rPr>
      <w:vertAlign w:val="superscript"/>
    </w:rPr>
  </w:style>
  <w:style w:type="paragraph" w:customStyle="1" w:styleId="ABCseznamCZ">
    <w:name w:val="ABC seznamCZ"/>
    <w:basedOn w:val="Textnormy"/>
    <w:rsid w:val="00E66D54"/>
    <w:pPr>
      <w:numPr>
        <w:numId w:val="9"/>
      </w:numPr>
    </w:pPr>
  </w:style>
  <w:style w:type="paragraph" w:customStyle="1" w:styleId="slovanseznamvnorm">
    <w:name w:val="Číslovaný seznam v normě"/>
    <w:basedOn w:val="Textnormy"/>
    <w:rsid w:val="00E66D54"/>
    <w:pPr>
      <w:numPr>
        <w:numId w:val="5"/>
      </w:numPr>
      <w:tabs>
        <w:tab w:val="clear" w:pos="360"/>
      </w:tabs>
    </w:pPr>
  </w:style>
  <w:style w:type="paragraph" w:customStyle="1" w:styleId="Seznamvnorm">
    <w:name w:val="Seznam v normě"/>
    <w:basedOn w:val="Textnormy"/>
    <w:rsid w:val="00E66D54"/>
    <w:pPr>
      <w:numPr>
        <w:numId w:val="6"/>
      </w:numPr>
      <w:tabs>
        <w:tab w:val="clear" w:pos="360"/>
      </w:tabs>
      <w:ind w:left="284" w:hanging="284"/>
    </w:pPr>
  </w:style>
  <w:style w:type="paragraph" w:customStyle="1" w:styleId="Obrzek">
    <w:name w:val="Obrázek"/>
    <w:basedOn w:val="Textnormy"/>
    <w:next w:val="Normln"/>
    <w:rsid w:val="00E66D54"/>
    <w:pPr>
      <w:keepNext/>
      <w:spacing w:after="160"/>
      <w:jc w:val="center"/>
    </w:pPr>
  </w:style>
  <w:style w:type="paragraph" w:customStyle="1" w:styleId="Abecednseznam">
    <w:name w:val="Abecední seznam"/>
    <w:basedOn w:val="Textnormy"/>
    <w:rsid w:val="00E66D54"/>
    <w:pPr>
      <w:numPr>
        <w:numId w:val="3"/>
      </w:numPr>
      <w:tabs>
        <w:tab w:val="clear" w:pos="360"/>
      </w:tabs>
    </w:pPr>
  </w:style>
  <w:style w:type="paragraph" w:styleId="Textpoznpodarou">
    <w:name w:val="footnote text"/>
    <w:basedOn w:val="Poznmka"/>
    <w:rsid w:val="00E66D54"/>
    <w:pPr>
      <w:spacing w:before="60" w:after="0"/>
    </w:pPr>
  </w:style>
  <w:style w:type="paragraph" w:styleId="Obsah9">
    <w:name w:val="toc 9"/>
    <w:basedOn w:val="Normln"/>
    <w:next w:val="Normln"/>
    <w:autoRedefine/>
    <w:semiHidden/>
    <w:rsid w:val="00E66D54"/>
    <w:pPr>
      <w:ind w:left="1600"/>
    </w:pPr>
  </w:style>
  <w:style w:type="paragraph" w:customStyle="1" w:styleId="1Str1Rad">
    <w:name w:val="1Str1Rad"/>
    <w:basedOn w:val="Textnormy"/>
    <w:rsid w:val="00E66D54"/>
    <w:pPr>
      <w:widowControl w:val="0"/>
      <w:tabs>
        <w:tab w:val="left" w:pos="7371"/>
        <w:tab w:val="right" w:pos="9923"/>
      </w:tabs>
    </w:pPr>
  </w:style>
  <w:style w:type="paragraph" w:customStyle="1" w:styleId="esknorma">
    <w:name w:val="Česká norma"/>
    <w:basedOn w:val="Textnormy"/>
    <w:next w:val="1Str1Rad"/>
    <w:rsid w:val="00E66D54"/>
    <w:pPr>
      <w:spacing w:after="0"/>
      <w:jc w:val="left"/>
    </w:pPr>
    <w:rPr>
      <w:sz w:val="28"/>
    </w:rPr>
  </w:style>
  <w:style w:type="paragraph" w:customStyle="1" w:styleId="Tir">
    <w:name w:val="Tiráž"/>
    <w:basedOn w:val="Normln"/>
    <w:rsid w:val="00E66D54"/>
    <w:pPr>
      <w:framePr w:w="9356" w:hSpace="142" w:wrap="around" w:hAnchor="margin" w:yAlign="bottom" w:anchorLock="1"/>
    </w:pPr>
    <w:rPr>
      <w:noProof/>
      <w:sz w:val="16"/>
    </w:rPr>
  </w:style>
  <w:style w:type="paragraph" w:styleId="Hlavikarejstku">
    <w:name w:val="index heading"/>
    <w:basedOn w:val="Textnormy"/>
    <w:next w:val="Rejstk1"/>
    <w:rsid w:val="00E66D54"/>
    <w:pPr>
      <w:spacing w:before="180" w:after="60"/>
      <w:jc w:val="left"/>
    </w:pPr>
    <w:rPr>
      <w:b/>
      <w:sz w:val="18"/>
    </w:rPr>
  </w:style>
  <w:style w:type="paragraph" w:customStyle="1" w:styleId="Texttabulky">
    <w:name w:val="Text tabulky"/>
    <w:basedOn w:val="Textnormy"/>
    <w:rsid w:val="00E66D54"/>
    <w:pPr>
      <w:suppressAutoHyphens/>
      <w:spacing w:before="60" w:after="60"/>
      <w:jc w:val="left"/>
    </w:pPr>
    <w:rPr>
      <w:sz w:val="18"/>
    </w:rPr>
  </w:style>
  <w:style w:type="paragraph" w:customStyle="1" w:styleId="1StrCopyright">
    <w:name w:val="1StrCopyright"/>
    <w:basedOn w:val="Zpat"/>
    <w:rsid w:val="00E66D54"/>
    <w:pPr>
      <w:tabs>
        <w:tab w:val="left" w:pos="2155"/>
        <w:tab w:val="right" w:pos="9923"/>
      </w:tabs>
      <w:spacing w:after="0"/>
      <w:ind w:left="2126" w:hanging="2126"/>
      <w:jc w:val="left"/>
    </w:pPr>
  </w:style>
  <w:style w:type="paragraph" w:customStyle="1" w:styleId="EvropNorma">
    <w:name w:val="EvropNorma"/>
    <w:basedOn w:val="Textnormy"/>
    <w:rsid w:val="00E66D54"/>
    <w:pPr>
      <w:pageBreakBefore/>
      <w:pBdr>
        <w:bottom w:val="single" w:sz="6" w:space="6" w:color="auto"/>
      </w:pBdr>
      <w:tabs>
        <w:tab w:val="left" w:pos="8505"/>
      </w:tabs>
      <w:jc w:val="left"/>
    </w:pPr>
    <w:rPr>
      <w:b/>
      <w:kern w:val="28"/>
      <w:sz w:val="24"/>
    </w:rPr>
  </w:style>
  <w:style w:type="paragraph" w:customStyle="1" w:styleId="ICS">
    <w:name w:val="ICS"/>
    <w:basedOn w:val="Textnormy"/>
    <w:rsid w:val="00E66D54"/>
    <w:pPr>
      <w:tabs>
        <w:tab w:val="right" w:pos="9923"/>
      </w:tabs>
      <w:spacing w:after="480"/>
    </w:pPr>
    <w:rPr>
      <w:kern w:val="28"/>
    </w:rPr>
  </w:style>
  <w:style w:type="paragraph" w:customStyle="1" w:styleId="NzNorCZ">
    <w:name w:val="NázNorCZ"/>
    <w:basedOn w:val="Textnormy"/>
    <w:next w:val="NzNorUS"/>
    <w:rsid w:val="00E66D54"/>
    <w:pPr>
      <w:suppressAutoHyphens/>
      <w:spacing w:after="240"/>
      <w:ind w:left="1134" w:right="1134"/>
      <w:jc w:val="center"/>
    </w:pPr>
    <w:rPr>
      <w:b/>
    </w:rPr>
  </w:style>
  <w:style w:type="paragraph" w:customStyle="1" w:styleId="NzNorUS">
    <w:name w:val="NázNorUS"/>
    <w:basedOn w:val="Textnormy"/>
    <w:next w:val="NzNorFraGer"/>
    <w:rsid w:val="00E66D54"/>
    <w:pPr>
      <w:suppressAutoHyphens/>
      <w:spacing w:after="240"/>
      <w:ind w:left="1134" w:right="1134"/>
      <w:jc w:val="center"/>
    </w:pPr>
    <w:rPr>
      <w:lang w:val="en-GB"/>
    </w:rPr>
  </w:style>
  <w:style w:type="paragraph" w:customStyle="1" w:styleId="NzNorFraGer">
    <w:name w:val="NázNorFraGer"/>
    <w:basedOn w:val="Textnormy"/>
    <w:next w:val="Textnormy"/>
    <w:rsid w:val="00E66D54"/>
    <w:pPr>
      <w:tabs>
        <w:tab w:val="left" w:pos="4536"/>
      </w:tabs>
      <w:suppressAutoHyphens/>
      <w:spacing w:after="480"/>
      <w:jc w:val="left"/>
    </w:pPr>
  </w:style>
  <w:style w:type="paragraph" w:customStyle="1" w:styleId="1StrCN">
    <w:name w:val="1StrCN"/>
    <w:basedOn w:val="Textnormy"/>
    <w:next w:val="1StrTrZn"/>
    <w:rsid w:val="00E66D54"/>
    <w:pPr>
      <w:spacing w:before="180" w:after="0" w:line="340" w:lineRule="exact"/>
      <w:jc w:val="left"/>
    </w:pPr>
    <w:rPr>
      <w:b/>
      <w:noProof/>
      <w:sz w:val="32"/>
    </w:rPr>
  </w:style>
  <w:style w:type="paragraph" w:customStyle="1" w:styleId="1StrNN-3-23">
    <w:name w:val="1StrNN-3-23"/>
    <w:basedOn w:val="1StrNN-1-23"/>
    <w:rsid w:val="00E66D54"/>
    <w:pPr>
      <w:spacing w:before="300"/>
    </w:pPr>
  </w:style>
  <w:style w:type="paragraph" w:customStyle="1" w:styleId="1StrNN-X">
    <w:name w:val="1StrNN-X"/>
    <w:basedOn w:val="1StrNN-1-23"/>
    <w:rsid w:val="00E66D54"/>
    <w:pPr>
      <w:spacing w:before="180" w:after="180"/>
    </w:pPr>
  </w:style>
  <w:style w:type="paragraph" w:styleId="Titulek">
    <w:name w:val="caption"/>
    <w:basedOn w:val="Normln"/>
    <w:next w:val="Normln"/>
    <w:unhideWhenUsed/>
    <w:qFormat/>
    <w:rsid w:val="00E66D54"/>
    <w:pPr>
      <w:spacing w:before="120" w:after="120"/>
    </w:pPr>
    <w:rPr>
      <w:b/>
    </w:rPr>
  </w:style>
  <w:style w:type="paragraph" w:customStyle="1" w:styleId="1StrNN-1-4">
    <w:name w:val="1StrNN-1-4"/>
    <w:basedOn w:val="1StrNN-1-23"/>
    <w:rsid w:val="00E66D54"/>
    <w:pPr>
      <w:spacing w:before="800"/>
    </w:pPr>
  </w:style>
  <w:style w:type="paragraph" w:customStyle="1" w:styleId="1StrNN-2-4">
    <w:name w:val="1StrNN-2-4"/>
    <w:basedOn w:val="1StrNN-1-23"/>
    <w:rsid w:val="00E66D54"/>
  </w:style>
  <w:style w:type="paragraph" w:customStyle="1" w:styleId="1StrNN-3-4">
    <w:name w:val="1StrNN-3-4"/>
    <w:basedOn w:val="1StrNN-1-23"/>
    <w:rsid w:val="00E66D54"/>
    <w:pPr>
      <w:spacing w:before="460"/>
    </w:pPr>
  </w:style>
  <w:style w:type="paragraph" w:customStyle="1" w:styleId="1StrNN-4-4">
    <w:name w:val="1StrNN-4-4"/>
    <w:basedOn w:val="1StrNN-1-23"/>
    <w:rsid w:val="00E66D54"/>
    <w:pPr>
      <w:spacing w:before="340"/>
    </w:pPr>
  </w:style>
  <w:style w:type="paragraph" w:customStyle="1" w:styleId="ABCSeznamUS">
    <w:name w:val="ABC SeznamUS"/>
    <w:basedOn w:val="Textnormy"/>
    <w:rsid w:val="00E66D54"/>
    <w:pPr>
      <w:numPr>
        <w:numId w:val="7"/>
      </w:numPr>
      <w:tabs>
        <w:tab w:val="clear" w:pos="360"/>
      </w:tabs>
    </w:pPr>
    <w:rPr>
      <w:snapToGrid w:val="0"/>
      <w:lang w:val="en-US"/>
    </w:rPr>
  </w:style>
  <w:style w:type="paragraph" w:customStyle="1" w:styleId="TextnormyUS">
    <w:name w:val="Text normy US"/>
    <w:basedOn w:val="Textnormy"/>
    <w:autoRedefine/>
    <w:rsid w:val="00E66D54"/>
    <w:pPr>
      <w:spacing w:after="0"/>
    </w:pPr>
    <w:rPr>
      <w:noProof/>
    </w:rPr>
  </w:style>
  <w:style w:type="paragraph" w:customStyle="1" w:styleId="Textnormy1str">
    <w:name w:val="Text normy 1str"/>
    <w:basedOn w:val="Textnormy"/>
    <w:rsid w:val="00E66D54"/>
    <w:pPr>
      <w:jc w:val="left"/>
    </w:pPr>
  </w:style>
  <w:style w:type="paragraph" w:customStyle="1" w:styleId="1StrNN-4-3">
    <w:name w:val="1StrNN-4-3"/>
    <w:basedOn w:val="1StrNN-1-23"/>
    <w:rsid w:val="00E66D54"/>
    <w:pPr>
      <w:spacing w:before="160"/>
    </w:pPr>
  </w:style>
  <w:style w:type="paragraph" w:customStyle="1" w:styleId="Upozornn">
    <w:name w:val="Upozornění"/>
    <w:basedOn w:val="Normln"/>
    <w:rsid w:val="00E66D54"/>
    <w:pPr>
      <w:framePr w:w="9356" w:hSpace="142" w:wrap="around" w:hAnchor="margin" w:yAlign="bottom" w:anchorLock="1"/>
      <w:jc w:val="both"/>
    </w:pPr>
    <w:rPr>
      <w:sz w:val="18"/>
    </w:rPr>
  </w:style>
  <w:style w:type="character" w:customStyle="1" w:styleId="TextnormyChar1">
    <w:name w:val="Text normy Char1"/>
    <w:basedOn w:val="Standardnpsmoodstavce"/>
    <w:link w:val="Textnormy"/>
    <w:rsid w:val="00E66D54"/>
  </w:style>
  <w:style w:type="character" w:styleId="Hypertextovodkaz">
    <w:name w:val="Hyperlink"/>
    <w:unhideWhenUsed/>
    <w:rsid w:val="00E66D54"/>
    <w:rPr>
      <w:color w:val="0000FF"/>
      <w:u w:val="single"/>
    </w:rPr>
  </w:style>
  <w:style w:type="table" w:styleId="Mkatabulky">
    <w:name w:val="Table Grid"/>
    <w:basedOn w:val="Normlntabulka"/>
    <w:rsid w:val="00E66D5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dpis1Char">
    <w:name w:val="Nadpis 1 Char"/>
    <w:link w:val="Nadpis1"/>
    <w:rsid w:val="00E66D54"/>
    <w:rPr>
      <w:b/>
      <w:sz w:val="24"/>
    </w:rPr>
  </w:style>
  <w:style w:type="character" w:styleId="Odkaznakoment">
    <w:name w:val="annotation reference"/>
    <w:basedOn w:val="Standardnpsmoodstavce"/>
    <w:unhideWhenUsed/>
    <w:rsid w:val="00E66D54"/>
    <w:rPr>
      <w:sz w:val="16"/>
      <w:szCs w:val="16"/>
    </w:rPr>
  </w:style>
  <w:style w:type="paragraph" w:styleId="Textbubliny">
    <w:name w:val="Balloon Text"/>
    <w:basedOn w:val="Normln"/>
    <w:link w:val="TextbublinyChar"/>
    <w:rsid w:val="00E66D54"/>
    <w:rPr>
      <w:rFonts w:ascii="Tahoma" w:hAnsi="Tahoma" w:cs="Tahoma"/>
      <w:sz w:val="16"/>
      <w:szCs w:val="16"/>
    </w:rPr>
  </w:style>
  <w:style w:type="character" w:customStyle="1" w:styleId="TextbublinyChar">
    <w:name w:val="Text bubliny Char"/>
    <w:basedOn w:val="Standardnpsmoodstavce"/>
    <w:link w:val="Textbubliny"/>
    <w:rsid w:val="0028489E"/>
    <w:rPr>
      <w:rFonts w:ascii="Tahoma" w:hAnsi="Tahoma" w:cs="Tahoma"/>
      <w:sz w:val="16"/>
      <w:szCs w:val="16"/>
    </w:rPr>
  </w:style>
  <w:style w:type="paragraph" w:styleId="Textkomente">
    <w:name w:val="annotation text"/>
    <w:basedOn w:val="Normln"/>
    <w:link w:val="TextkomenteChar"/>
    <w:unhideWhenUsed/>
    <w:rsid w:val="00E66D54"/>
  </w:style>
  <w:style w:type="character" w:customStyle="1" w:styleId="TextkomenteChar">
    <w:name w:val="Text komentáře Char"/>
    <w:basedOn w:val="Standardnpsmoodstavce"/>
    <w:link w:val="Textkomente"/>
    <w:rsid w:val="00E66D54"/>
  </w:style>
  <w:style w:type="character" w:customStyle="1" w:styleId="TextnormyCharChar">
    <w:name w:val="Text normy Char Char"/>
    <w:semiHidden/>
    <w:rsid w:val="00E66D54"/>
    <w:rPr>
      <w:rFonts w:ascii="Arial" w:hAnsi="Arial"/>
      <w:noProof w:val="0"/>
      <w:lang w:val="cs-CZ" w:eastAsia="cs-CZ" w:bidi="ar-SA"/>
    </w:rPr>
  </w:style>
  <w:style w:type="character" w:customStyle="1" w:styleId="ZkladntextChar">
    <w:name w:val="Základní text Char"/>
    <w:basedOn w:val="Standardnpsmoodstavce"/>
    <w:link w:val="Zkladntext"/>
    <w:semiHidden/>
    <w:rsid w:val="00E66D54"/>
  </w:style>
  <w:style w:type="paragraph" w:customStyle="1" w:styleId="NadpisObr">
    <w:name w:val="NadpisObr"/>
    <w:basedOn w:val="Nadpis4"/>
    <w:next w:val="Textnormy"/>
    <w:qFormat/>
    <w:rsid w:val="00E66D54"/>
    <w:pPr>
      <w:keepNext w:val="0"/>
      <w:keepLines w:val="0"/>
      <w:widowControl w:val="0"/>
      <w:jc w:val="center"/>
    </w:pPr>
  </w:style>
  <w:style w:type="paragraph" w:customStyle="1" w:styleId="NadpisTab">
    <w:name w:val="NadpisTab"/>
    <w:basedOn w:val="Nadpis4"/>
    <w:next w:val="Textnormy"/>
    <w:qFormat/>
    <w:rsid w:val="00E66D54"/>
    <w:pPr>
      <w:jc w:val="center"/>
    </w:pPr>
  </w:style>
  <w:style w:type="paragraph" w:customStyle="1" w:styleId="NadpisTabObr">
    <w:name w:val="NadpisTabObr"/>
    <w:basedOn w:val="Nadpislnku"/>
    <w:next w:val="Textnormy"/>
    <w:rsid w:val="00BE7844"/>
    <w:pPr>
      <w:keepNext w:val="0"/>
      <w:jc w:val="center"/>
    </w:pPr>
  </w:style>
  <w:style w:type="character" w:customStyle="1" w:styleId="NadpislnkuChar">
    <w:name w:val="Nadpis článku Char"/>
    <w:link w:val="Nadpislnku"/>
    <w:rsid w:val="00E66D54"/>
    <w:rPr>
      <w:b/>
    </w:rPr>
  </w:style>
  <w:style w:type="character" w:customStyle="1" w:styleId="PoznmkaChar">
    <w:name w:val="Poznámka Char"/>
    <w:link w:val="Poznmka"/>
    <w:rsid w:val="00D32EBF"/>
    <w:rPr>
      <w:sz w:val="18"/>
    </w:rPr>
  </w:style>
  <w:style w:type="paragraph" w:styleId="Revize">
    <w:name w:val="Revision"/>
    <w:hidden/>
    <w:uiPriority w:val="99"/>
    <w:semiHidden/>
    <w:rsid w:val="00AA103F"/>
  </w:style>
  <w:style w:type="paragraph" w:styleId="Pedmtkomente">
    <w:name w:val="annotation subject"/>
    <w:basedOn w:val="Textkomente"/>
    <w:next w:val="Textkomente"/>
    <w:link w:val="PedmtkomenteChar"/>
    <w:semiHidden/>
    <w:unhideWhenUsed/>
    <w:rsid w:val="00E66D54"/>
    <w:rPr>
      <w:b/>
      <w:bCs/>
    </w:rPr>
  </w:style>
  <w:style w:type="character" w:customStyle="1" w:styleId="PedmtkomenteChar">
    <w:name w:val="Předmět komentáře Char"/>
    <w:basedOn w:val="TextkomenteChar"/>
    <w:link w:val="Pedmtkomente"/>
    <w:semiHidden/>
    <w:rsid w:val="00E66D54"/>
    <w:rPr>
      <w:b/>
      <w:bCs/>
    </w:rPr>
  </w:style>
  <w:style w:type="character" w:styleId="Sledovanodkaz">
    <w:name w:val="FollowedHyperlink"/>
    <w:basedOn w:val="Standardnpsmoodstavce"/>
    <w:semiHidden/>
    <w:unhideWhenUsed/>
    <w:rsid w:val="00E66D54"/>
    <w:rPr>
      <w:color w:val="954F72" w:themeColor="followedHyperlink"/>
      <w:u w:val="single"/>
    </w:rPr>
  </w:style>
  <w:style w:type="character" w:customStyle="1" w:styleId="cf01">
    <w:name w:val="cf01"/>
    <w:basedOn w:val="Standardnpsmoodstavce"/>
    <w:rsid w:val="00E66D54"/>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7558789">
      <w:bodyDiv w:val="1"/>
      <w:marLeft w:val="0"/>
      <w:marRight w:val="0"/>
      <w:marTop w:val="0"/>
      <w:marBottom w:val="0"/>
      <w:divBdr>
        <w:top w:val="none" w:sz="0" w:space="0" w:color="auto"/>
        <w:left w:val="none" w:sz="0" w:space="0" w:color="auto"/>
        <w:bottom w:val="none" w:sz="0" w:space="0" w:color="auto"/>
        <w:right w:val="none" w:sz="0" w:space="0" w:color="auto"/>
      </w:divBdr>
    </w:div>
    <w:div w:id="1913268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agenturacas.gov.cz/" TargetMode="External"/><Relationship Id="rId18" Type="http://schemas.openxmlformats.org/officeDocument/2006/relationships/hyperlink" Target="http://www.electropedia.org/"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eader" Target="head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yperlink" Target="http://www.iec.ch" TargetMode="External"/><Relationship Id="rId25" Type="http://schemas.openxmlformats.org/officeDocument/2006/relationships/header" Target="header6.xml"/><Relationship Id="rId2" Type="http://schemas.openxmlformats.org/officeDocument/2006/relationships/styles" Target="styles.xml"/><Relationship Id="rId16" Type="http://schemas.openxmlformats.org/officeDocument/2006/relationships/hyperlink" Target="mailto:info@iec.ch" TargetMode="External"/><Relationship Id="rId20" Type="http://schemas.openxmlformats.org/officeDocument/2006/relationships/hyperlink" Target="https://std.iec.ch/iev/iev.nsf/display?openform&amp;ievref=195-02-20"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5.xml"/><Relationship Id="rId5" Type="http://schemas.openxmlformats.org/officeDocument/2006/relationships/footnotes" Target="footnotes.xml"/><Relationship Id="rId15" Type="http://schemas.openxmlformats.org/officeDocument/2006/relationships/image" Target="media/image2.wmf"/><Relationship Id="rId23" Type="http://schemas.openxmlformats.org/officeDocument/2006/relationships/footer" Target="footer4.xml"/><Relationship Id="rId10" Type="http://schemas.openxmlformats.org/officeDocument/2006/relationships/footer" Target="footer2.xml"/><Relationship Id="rId19" Type="http://schemas.openxmlformats.org/officeDocument/2006/relationships/hyperlink" Target="http://www.electopedia.org"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eshop.agentura-cas.cz/" TargetMode="External"/><Relationship Id="rId22" Type="http://schemas.openxmlformats.org/officeDocument/2006/relationships/header" Target="header5.xml"/><Relationship Id="rId27" Type="http://schemas.openxmlformats.org/officeDocument/2006/relationships/theme" Target="theme/theme1.xml"/></Relationships>
</file>

<file path=word/_rels/footer3.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outska\AppData\Roaming\Microsoft\Templates\Normy25i.dotx"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Normy25i.dotx</Template>
  <TotalTime>13</TotalTime>
  <Pages>9</Pages>
  <Words>2400</Words>
  <Characters>14161</Characters>
  <Application>Microsoft Office Word</Application>
  <DocSecurity>0</DocSecurity>
  <Lines>118</Lines>
  <Paragraphs>33</Paragraphs>
  <ScaleCrop>false</ScaleCrop>
  <HeadingPairs>
    <vt:vector size="2" baseType="variant">
      <vt:variant>
        <vt:lpstr>Název</vt:lpstr>
      </vt:variant>
      <vt:variant>
        <vt:i4>1</vt:i4>
      </vt:variant>
    </vt:vector>
  </HeadingPairs>
  <TitlesOfParts>
    <vt:vector size="1" baseType="lpstr">
      <vt:lpstr>ČESKÁ TECHNICKÁ NORMA</vt:lpstr>
    </vt:vector>
  </TitlesOfParts>
  <Company>ÚNMZ</Company>
  <LinksUpToDate>false</LinksUpToDate>
  <CharactersWithSpaces>16528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ČESKÁ TECHNICKÁ NORMA</dc:title>
  <dc:subject/>
  <dc:creator>Ediční oddělení</dc:creator>
  <cp:keywords/>
  <cp:lastModifiedBy>Křivka Jan</cp:lastModifiedBy>
  <cp:revision>9</cp:revision>
  <cp:lastPrinted>2020-10-29T07:20:00Z</cp:lastPrinted>
  <dcterms:created xsi:type="dcterms:W3CDTF">2024-08-19T07:30:00Z</dcterms:created>
  <dcterms:modified xsi:type="dcterms:W3CDTF">2025-03-31T06:12:00Z</dcterms:modified>
</cp:coreProperties>
</file>