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8FEBC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82593FB" wp14:editId="74AAD4A7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D0C49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EA13D27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4776F2" w:rsidRPr="0020763D">
        <w:rPr>
          <w:sz w:val="16"/>
        </w:rPr>
        <w:t>33.060.20; 33.100.01</w:t>
      </w:r>
      <w:r>
        <w:tab/>
      </w:r>
      <w:r>
        <w:tab/>
      </w:r>
      <w:r>
        <w:rPr>
          <w:b/>
        </w:rPr>
        <w:t xml:space="preserve">Měsíc </w:t>
      </w:r>
      <w:r w:rsidR="004776F2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8"/>
        <w:gridCol w:w="2835"/>
      </w:tblGrid>
      <w:tr w:rsidR="00A83EAB" w14:paraId="37DD4A79" w14:textId="77777777" w:rsidTr="004776F2">
        <w:trPr>
          <w:cantSplit/>
          <w:trHeight w:val="1701"/>
        </w:trPr>
        <w:tc>
          <w:tcPr>
            <w:tcW w:w="7088" w:type="dxa"/>
          </w:tcPr>
          <w:p w14:paraId="2AB3C641" w14:textId="77777777" w:rsidR="00A83EAB" w:rsidRDefault="004776F2" w:rsidP="004776F2">
            <w:pPr>
              <w:pStyle w:val="1StrNN-X"/>
            </w:pPr>
            <w:r w:rsidRPr="0020763D">
              <w:t>Elektromagnetická kompatibilita a rádiové spektrum (ERM) – Základnové stanice (BS), opakovače a uživatelská zařízení (UE)</w:t>
            </w:r>
            <w:r w:rsidRPr="0020763D">
              <w:br/>
              <w:t>buňkových sítí IMT-2000 třetí generace –</w:t>
            </w:r>
            <w:r w:rsidRPr="0020763D">
              <w:br/>
              <w:t>Část 7: Harmonizovaná EN pokrývající základní požadavky článku 3.2 Směrnice R&amp;TTE</w:t>
            </w:r>
            <w:r w:rsidRPr="0020763D">
              <w:br/>
              <w:t>na IMT-2000, CDMA TDD (UTRA TDD) (BS)</w:t>
            </w:r>
          </w:p>
        </w:tc>
        <w:tc>
          <w:tcPr>
            <w:tcW w:w="2835" w:type="dxa"/>
          </w:tcPr>
          <w:p w14:paraId="4DC97139" w14:textId="7BD1EA8A" w:rsidR="004776F2" w:rsidRPr="0020763D" w:rsidRDefault="004776F2" w:rsidP="004776F2">
            <w:pPr>
              <w:pStyle w:val="1StrCN"/>
            </w:pPr>
            <w:r w:rsidRPr="0020763D">
              <w:t>ČSN</w:t>
            </w:r>
            <w:r w:rsidRPr="0020763D">
              <w:br/>
              <w:t>ETSI EN 301 908-7</w:t>
            </w:r>
            <w:r w:rsidRPr="0020763D">
              <w:br/>
            </w:r>
            <w:r w:rsidRPr="0020763D">
              <w:rPr>
                <w:b w:val="0"/>
                <w:sz w:val="28"/>
              </w:rPr>
              <w:t>V2.2.1</w:t>
            </w:r>
            <w:r w:rsidR="009D33A8">
              <w:rPr>
                <w:b w:val="0"/>
                <w:sz w:val="28"/>
              </w:rPr>
              <w:br/>
            </w:r>
            <w:r w:rsidR="009D33A8">
              <w:rPr>
                <w:b w:val="0"/>
                <w:sz w:val="28"/>
              </w:rPr>
              <w:br/>
            </w:r>
          </w:p>
          <w:p w14:paraId="440967BB" w14:textId="4A220D89" w:rsidR="00A83EAB" w:rsidRDefault="004776F2" w:rsidP="009D33A8">
            <w:pPr>
              <w:pStyle w:val="1StrTrZn"/>
              <w:spacing w:before="340"/>
            </w:pPr>
            <w:r w:rsidRPr="0020763D">
              <w:t>87 5111</w:t>
            </w:r>
          </w:p>
        </w:tc>
      </w:tr>
    </w:tbl>
    <w:p w14:paraId="3F7EE01F" w14:textId="77777777" w:rsidR="00A83EAB" w:rsidRDefault="00A83EAB">
      <w:pPr>
        <w:pStyle w:val="Shodnost"/>
      </w:pPr>
    </w:p>
    <w:p w14:paraId="0168C8C7" w14:textId="77777777" w:rsidR="004776F2" w:rsidRPr="0020763D" w:rsidRDefault="004776F2" w:rsidP="004776F2">
      <w:pPr>
        <w:pStyle w:val="Cizojazynnzev"/>
        <w:spacing w:after="840"/>
      </w:pPr>
      <w:r w:rsidRPr="0020763D">
        <w:rPr>
          <w:snapToGrid w:val="0"/>
        </w:rPr>
        <w:t>Electromagnetic compatibility and Radio spectrum Matters (ERM) – Base Stations (BS), Repeaters and User</w:t>
      </w:r>
      <w:r w:rsidRPr="0020763D">
        <w:rPr>
          <w:snapToGrid w:val="0"/>
        </w:rPr>
        <w:br/>
        <w:t>Equipment (UE) for IMT-2000 Third-Generation cellular networks –</w:t>
      </w:r>
      <w:r w:rsidRPr="0020763D">
        <w:rPr>
          <w:snapToGrid w:val="0"/>
        </w:rPr>
        <w:br/>
        <w:t>Part 7: Harmonized EN for IMT-2000, CDMA TDD (UTRA TDD) (BS) covering essential requirements of article 3.2</w:t>
      </w:r>
      <w:r w:rsidRPr="0020763D">
        <w:rPr>
          <w:snapToGrid w:val="0"/>
        </w:rPr>
        <w:br/>
        <w:t>of the R&amp;TTE Directive</w:t>
      </w:r>
    </w:p>
    <w:p w14:paraId="2BEB20A8" w14:textId="77777777" w:rsidR="004776F2" w:rsidRPr="004776F2" w:rsidRDefault="004776F2" w:rsidP="004776F2">
      <w:pPr>
        <w:pStyle w:val="Textnormy"/>
        <w:rPr>
          <w:rFonts w:cs="Arial"/>
        </w:rPr>
      </w:pPr>
      <w:r w:rsidRPr="004776F2">
        <w:rPr>
          <w:rFonts w:cs="Arial"/>
        </w:rPr>
        <w:t>Tato norma je českou verzí evropské normy ETSI EN 301 908-7 V2.2.1:2003. Překlad byl zajištěn Českou agenturou pro standardizaci. Má stejný status jako oficiální verze.</w:t>
      </w:r>
    </w:p>
    <w:p w14:paraId="7650A6DE" w14:textId="77777777" w:rsidR="00A83EAB" w:rsidRPr="004776F2" w:rsidRDefault="004776F2" w:rsidP="004776F2">
      <w:pPr>
        <w:pStyle w:val="Textnormy"/>
      </w:pPr>
      <w:r w:rsidRPr="004776F2">
        <w:t>This standard is the Czech version of the European Standard</w:t>
      </w:r>
      <w:r w:rsidRPr="004776F2" w:rsidDel="009402A0">
        <w:t xml:space="preserve"> </w:t>
      </w:r>
      <w:r w:rsidRPr="004776F2">
        <w:t xml:space="preserve">ETSI EN 301 908-7 V2.2.1:2003. It was translated by the </w:t>
      </w:r>
      <w:r w:rsidRPr="009D33A8">
        <w:t>Czech Standardization Agency</w:t>
      </w:r>
      <w:r w:rsidRPr="004776F2">
        <w:t>. It has the same status as the official version.</w:t>
      </w:r>
    </w:p>
    <w:p w14:paraId="0F1E9630" w14:textId="77777777" w:rsidR="00A83EAB" w:rsidRDefault="00A83EAB">
      <w:pPr>
        <w:pStyle w:val="Textnormy"/>
        <w:tabs>
          <w:tab w:val="right" w:pos="9923"/>
        </w:tabs>
      </w:pPr>
    </w:p>
    <w:p w14:paraId="23747127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525A41C" w14:textId="77777777" w:rsidR="004776F2" w:rsidRPr="0020763D" w:rsidRDefault="004776F2" w:rsidP="004776F2">
      <w:pPr>
        <w:pStyle w:val="Nadpiskapitoly"/>
        <w:spacing w:before="0"/>
      </w:pPr>
      <w:r w:rsidRPr="0020763D">
        <w:lastRenderedPageBreak/>
        <w:t>Národní předmluva</w:t>
      </w:r>
    </w:p>
    <w:p w14:paraId="50158FD3" w14:textId="312B4F49" w:rsidR="004776F2" w:rsidRPr="004776F2" w:rsidRDefault="004776F2" w:rsidP="004776F2">
      <w:pPr>
        <w:pStyle w:val="Textnormy"/>
      </w:pPr>
      <w:r w:rsidRPr="004776F2">
        <w:t xml:space="preserve">Termín „harmonizovaná norma“ uvedený v názvu ČSN je českým překladem termínu uvedeného v názvu </w:t>
      </w:r>
      <w:r>
        <w:br/>
      </w:r>
      <w:r w:rsidRPr="004776F2">
        <w:t xml:space="preserve">evropské normy. V České republice se stává tato ČSN harmonizovanou ve smyslu § 4a zákona č. 22/1997 Sb., o technických požadavcích na výrobky a o změně a doplnění některých zákonů, ve znění pozdějších změn, </w:t>
      </w:r>
      <w:r>
        <w:br/>
      </w:r>
      <w:r w:rsidRPr="004776F2">
        <w:t>přejímá-li plně požadavky harmonizované evropské normy. Tuto skutečnost Úřad pro technickou normalizaci, metrologii a státní zkušebnictví oznámí ve Věstníku Úřadu pro technickou normalizaci, metrologii a státní zkušebnictví s uvedením technického předpisu České republiky, ke kterému se tato norma vztahuje, a s odkazem na odpovídající harmonizovanou evropskou normu uveřejněnou v Úředním věstníku Evropsk</w:t>
      </w:r>
      <w:r w:rsidR="005B14BA">
        <w:t>é</w:t>
      </w:r>
      <w:r w:rsidRPr="004776F2">
        <w:t xml:space="preserve"> </w:t>
      </w:r>
      <w:r w:rsidR="005B14BA">
        <w:t>unie</w:t>
      </w:r>
      <w:r w:rsidRPr="004776F2">
        <w:t>.</w:t>
      </w:r>
    </w:p>
    <w:p w14:paraId="663B80B2" w14:textId="77777777" w:rsidR="004776F2" w:rsidRPr="004776F2" w:rsidRDefault="004776F2" w:rsidP="004776F2">
      <w:pPr>
        <w:pStyle w:val="Nadpislnku"/>
      </w:pPr>
      <w:r w:rsidRPr="004776F2">
        <w:t>Informace o citovaných dokumentech</w:t>
      </w:r>
    </w:p>
    <w:p w14:paraId="13C50DD9" w14:textId="67559D2F" w:rsidR="004776F2" w:rsidRPr="004776F2" w:rsidRDefault="004776F2" w:rsidP="004776F2">
      <w:pPr>
        <w:pStyle w:val="Textnormy"/>
      </w:pPr>
      <w:r w:rsidRPr="004776F2">
        <w:t>ETSI TR 100 028 V1.4.1 (soubor)</w:t>
      </w:r>
      <w:r w:rsidRPr="006D69F9">
        <w:rPr>
          <w:rFonts w:eastAsia="Arial Unicode MS" w:cs="Arial"/>
        </w:rPr>
        <w:t> </w:t>
      </w:r>
      <w:r w:rsidR="002A260F">
        <w:rPr>
          <w:rFonts w:eastAsia="Arial Unicode MS" w:cs="Arial"/>
        </w:rPr>
        <w:t xml:space="preserve">dosud </w:t>
      </w:r>
      <w:r w:rsidRPr="004776F2">
        <w:t>nezaveden</w:t>
      </w:r>
    </w:p>
    <w:p w14:paraId="09B107DD" w14:textId="4959387B" w:rsidR="004776F2" w:rsidRPr="004776F2" w:rsidRDefault="004776F2" w:rsidP="004776F2">
      <w:pPr>
        <w:pStyle w:val="Textnormy"/>
      </w:pPr>
      <w:r w:rsidRPr="004776F2">
        <w:t>ETSI TS 125 105 V5.4.0</w:t>
      </w:r>
      <w:r w:rsidRPr="006D69F9">
        <w:rPr>
          <w:rFonts w:eastAsia="Arial Unicode MS" w:cs="Arial"/>
        </w:rPr>
        <w:t> </w:t>
      </w:r>
      <w:r w:rsidR="002A260F">
        <w:rPr>
          <w:rFonts w:eastAsia="Arial Unicode MS" w:cs="Arial"/>
        </w:rPr>
        <w:t xml:space="preserve">dosud </w:t>
      </w:r>
      <w:r w:rsidRPr="004776F2">
        <w:t>nezavedena</w:t>
      </w:r>
    </w:p>
    <w:p w14:paraId="67876E71" w14:textId="77777777" w:rsidR="004776F2" w:rsidRPr="004776F2" w:rsidRDefault="004776F2" w:rsidP="004776F2">
      <w:pPr>
        <w:pStyle w:val="Textnormy"/>
      </w:pPr>
      <w:r w:rsidRPr="004776F2">
        <w:t>Doporučení ITU-R SM.329-10:2003</w:t>
      </w:r>
      <w:r w:rsidRPr="006D69F9">
        <w:rPr>
          <w:rFonts w:eastAsia="Arial Unicode MS" w:cs="Arial"/>
        </w:rPr>
        <w:t> </w:t>
      </w:r>
      <w:r w:rsidRPr="004776F2">
        <w:t>nezavedeno</w:t>
      </w:r>
    </w:p>
    <w:p w14:paraId="51A4D7FD" w14:textId="77777777" w:rsidR="004776F2" w:rsidRPr="004776F2" w:rsidRDefault="004776F2" w:rsidP="004776F2">
      <w:pPr>
        <w:pStyle w:val="Textnormy"/>
      </w:pPr>
      <w:r w:rsidRPr="004776F2">
        <w:t>ETSI EN 301 489 (soubor)</w:t>
      </w:r>
      <w:r w:rsidRPr="006D69F9">
        <w:rPr>
          <w:rFonts w:eastAsia="Arial Unicode MS" w:cs="Arial"/>
        </w:rPr>
        <w:t> </w:t>
      </w:r>
      <w:r w:rsidRPr="004776F2">
        <w:t>zaveden v souboru ČSN ETSI EN 301 489 (87 5101) Elektromagnetická kompatibilita a rádiové spektrum (ERM) – Norma pro elektromagnetickou kompatibilitu (EMC) rádiových zařízení a služeb</w:t>
      </w:r>
    </w:p>
    <w:p w14:paraId="3BFEF72D" w14:textId="658D6B13" w:rsidR="004776F2" w:rsidRPr="004776F2" w:rsidRDefault="004776F2" w:rsidP="004776F2">
      <w:pPr>
        <w:pStyle w:val="Textnormy"/>
      </w:pPr>
      <w:r w:rsidRPr="004776F2">
        <w:t>ETSI EN 301 908-1</w:t>
      </w:r>
      <w:r w:rsidRPr="006D69F9">
        <w:rPr>
          <w:rFonts w:eastAsia="Arial Unicode MS" w:cs="Arial"/>
        </w:rPr>
        <w:t> </w:t>
      </w:r>
      <w:r w:rsidRPr="004776F2">
        <w:t>zavedena v ČSN ETSI EN 301 908-1</w:t>
      </w:r>
      <w:r w:rsidR="003C5EB2">
        <w:t xml:space="preserve"> V4.2.1</w:t>
      </w:r>
      <w:r w:rsidRPr="004776F2">
        <w:t xml:space="preserve"> (87 5111) Elektromagnetická kompatibilita a rádiové spektrum (ERM) – Základnové stanice (BS), opakovače a uživatelská zařízení (UE) buňkových sítí IMT-2000 třetí generace – Část 1: Harmonizovaná EN pokrývající základní požadavky článku 3.2 Směrnice R&amp;TTE na IMT-2000, úvod a společné požadavky</w:t>
      </w:r>
    </w:p>
    <w:p w14:paraId="3F5D5343" w14:textId="77777777" w:rsidR="004776F2" w:rsidRPr="004776F2" w:rsidRDefault="004776F2" w:rsidP="004776F2">
      <w:pPr>
        <w:pStyle w:val="Poznmka"/>
        <w:spacing w:after="120"/>
      </w:pPr>
      <w:r w:rsidRPr="004776F2">
        <w:t>POZNÁMKY</w:t>
      </w:r>
    </w:p>
    <w:p w14:paraId="7A5009FA" w14:textId="74851B1E" w:rsidR="004776F2" w:rsidRPr="004776F2" w:rsidRDefault="004776F2" w:rsidP="00710B33">
      <w:pPr>
        <w:pStyle w:val="Seznampoznmek"/>
        <w:numPr>
          <w:ilvl w:val="0"/>
          <w:numId w:val="8"/>
        </w:numPr>
      </w:pPr>
      <w:r w:rsidRPr="004776F2">
        <w:t>Doporučení ITU-R jsou dostupná v Českém metrologickém institutu.</w:t>
      </w:r>
    </w:p>
    <w:p w14:paraId="6B9BB773" w14:textId="77777777" w:rsidR="004776F2" w:rsidRPr="004776F2" w:rsidRDefault="004776F2" w:rsidP="009D33A8">
      <w:pPr>
        <w:pStyle w:val="Seznampoznmek"/>
        <w:numPr>
          <w:ilvl w:val="0"/>
          <w:numId w:val="8"/>
        </w:numPr>
        <w:spacing w:after="200"/>
      </w:pPr>
      <w:r w:rsidRPr="004776F2">
        <w:t xml:space="preserve">Pokud jsou v originálu normy citovány nezaváděné dokumenty ETR, TBR, ES, EG, TS, TR a GSM, jsou dostupné </w:t>
      </w:r>
      <w:r>
        <w:br/>
      </w:r>
      <w:r w:rsidRPr="004776F2">
        <w:t>v zákaznickém centru ČAS.</w:t>
      </w:r>
      <w:r w:rsidRPr="004776F2" w:rsidDel="00C03E67">
        <w:t xml:space="preserve"> </w:t>
      </w:r>
    </w:p>
    <w:p w14:paraId="4FD9ABE4" w14:textId="77777777" w:rsidR="004776F2" w:rsidRPr="004776F2" w:rsidRDefault="004776F2" w:rsidP="004776F2">
      <w:pPr>
        <w:pStyle w:val="Nadpislnku"/>
      </w:pPr>
      <w:r w:rsidRPr="004776F2">
        <w:t>Citované předpisy</w:t>
      </w:r>
    </w:p>
    <w:p w14:paraId="6CA42011" w14:textId="77777777" w:rsidR="004776F2" w:rsidRPr="004776F2" w:rsidRDefault="004776F2" w:rsidP="004776F2">
      <w:pPr>
        <w:pStyle w:val="Textnormy"/>
      </w:pPr>
      <w:r w:rsidRPr="004776F2">
        <w:t>Směrnice Evropského parlamentu a Rady 1999/5/ES (1999/5/EC) z 9. března 1999, o rádiových a telekomunikačních koncových zařízeních a vzájemném uznávání jejich shody. V České republice je tato směrnice zavedena nařízením vlády č. 426/2000 Sb., kterým se stanoví technické požadavky na rádiová a na telekomunikační koncová zařízení ve znění nařízení vlády č. 483/2002 Sb. a nařízení vlády č. 251/2003 Sb. v platném znění.</w:t>
      </w:r>
    </w:p>
    <w:p w14:paraId="6F6F2EFF" w14:textId="77777777" w:rsidR="004776F2" w:rsidRPr="004776F2" w:rsidRDefault="004776F2" w:rsidP="004776F2">
      <w:pPr>
        <w:pStyle w:val="Textnormy"/>
      </w:pPr>
      <w:r w:rsidRPr="004776F2">
        <w:t>Směrnice Evropského parlamentu a Rady 2004/108/ES (2004/108/EC) z 15. prosince 2004, o sbližování právních předpisů členských států týkajících se elektromagnetické kompatibility. V České republice je tato směrnice zavedena nařízením vlády č. 616/2006 Sb., o technických požadavcích na výrobky z hlediska jejich elektromagnetické kompatibility, v platném znění.</w:t>
      </w:r>
    </w:p>
    <w:p w14:paraId="176AF289" w14:textId="77777777" w:rsidR="004776F2" w:rsidRPr="004776F2" w:rsidRDefault="004776F2" w:rsidP="004776F2">
      <w:pPr>
        <w:pStyle w:val="Textnormy"/>
      </w:pPr>
      <w:r w:rsidRPr="004776F2">
        <w:t xml:space="preserve">Směrnice Evropského parlamentu a Rady 73/23/EHS (73/23/EEC) z 19. února </w:t>
      </w:r>
      <w:smartTag w:uri="urn:schemas-microsoft-com:office:smarttags" w:element="metricconverter">
        <w:smartTagPr>
          <w:attr w:name="ProductID" w:val="1973 a"/>
        </w:smartTagPr>
        <w:r w:rsidRPr="004776F2">
          <w:t>1973 a</w:t>
        </w:r>
      </w:smartTag>
      <w:r w:rsidRPr="004776F2">
        <w:t xml:space="preserve"> 2006/95/ES (2006/95/EC) z 12. prosince 2006, o harmonizaci právních předpisů členských států týkajících se elektrických zařízení určených </w:t>
      </w:r>
      <w:r w:rsidRPr="001E761D">
        <w:rPr>
          <w:spacing w:val="-2"/>
        </w:rPr>
        <w:t>pro užívání v určitých mezích napětí. V České republice je tato směrnice zavedena nařízením vlády č. 17/2003 Sb.,</w:t>
      </w:r>
      <w:r w:rsidRPr="004776F2">
        <w:t xml:space="preserve"> kterým se stanoví technické požadavky na elektrická zařízení nízkého napětí, v platném znění.</w:t>
      </w:r>
    </w:p>
    <w:p w14:paraId="7CE73C05" w14:textId="77777777" w:rsidR="004776F2" w:rsidRPr="004776F2" w:rsidRDefault="004776F2" w:rsidP="004776F2">
      <w:pPr>
        <w:pStyle w:val="Nadpislnku"/>
      </w:pPr>
      <w:r w:rsidRPr="004776F2">
        <w:t>Vysvětlivky k textu této normy</w:t>
      </w:r>
    </w:p>
    <w:p w14:paraId="4DF68C3E" w14:textId="77777777" w:rsidR="004776F2" w:rsidRPr="004776F2" w:rsidRDefault="004776F2" w:rsidP="004776F2">
      <w:pPr>
        <w:pStyle w:val="Textnormy"/>
      </w:pPr>
      <w:r w:rsidRPr="004776F2">
        <w:t xml:space="preserve">V případě nedatovaných odkazů na evropské/mezinárodní normy jsou ČSN uvedené v článku „Informace </w:t>
      </w:r>
      <w:r>
        <w:br/>
      </w:r>
      <w:r w:rsidRPr="004776F2">
        <w:t>o citovaných dokumentech“ nejnovějšími vydáními, platnými v době schválení této normy. Při používání této normy je třeba vždy použít taková vydání ČSN, která přejímají nejnovější vydání nedatovaných evropských/mezinárodních norem (včetně všech změn).</w:t>
      </w:r>
    </w:p>
    <w:p w14:paraId="782F2F06" w14:textId="77777777" w:rsidR="0058116D" w:rsidRDefault="0058116D" w:rsidP="0058116D">
      <w:pPr>
        <w:pStyle w:val="Nadpislnku"/>
      </w:pPr>
      <w:r w:rsidRPr="00AC0FA5">
        <w:t>Vypracování normy</w:t>
      </w:r>
    </w:p>
    <w:p w14:paraId="452BE633" w14:textId="3CB81F44" w:rsidR="0058116D" w:rsidRDefault="0058116D" w:rsidP="0058116D">
      <w:pPr>
        <w:pStyle w:val="Textnormy"/>
      </w:pPr>
      <w:r>
        <w:t>Zpracovatel odborného překladu</w:t>
      </w:r>
      <w:r>
        <w:rPr>
          <w:bCs/>
        </w:rPr>
        <w:t>:</w:t>
      </w:r>
      <w:r w:rsidR="002A260F">
        <w:rPr>
          <w:bCs/>
        </w:rPr>
        <w:t xml:space="preserve"> </w:t>
      </w:r>
      <w:r>
        <w:rPr>
          <w:bCs/>
        </w:rPr>
        <w:t>Ing. Antonín Mareška</w:t>
      </w:r>
      <w:r w:rsidRPr="005E5CE7">
        <w:t xml:space="preserve">, </w:t>
      </w:r>
      <w:r>
        <w:t xml:space="preserve">Praha, </w:t>
      </w:r>
      <w:r w:rsidRPr="005E5CE7">
        <w:t xml:space="preserve">IČO </w:t>
      </w:r>
      <w:r w:rsidRPr="004776F2">
        <w:t>86983555</w:t>
      </w:r>
    </w:p>
    <w:p w14:paraId="402B1775" w14:textId="1227ACF2" w:rsidR="0058116D" w:rsidRPr="005E5CE7" w:rsidRDefault="0058116D" w:rsidP="0058116D">
      <w:pPr>
        <w:pStyle w:val="Textnormy"/>
      </w:pPr>
      <w:r w:rsidRPr="005E5CE7">
        <w:t xml:space="preserve">Technická normalizační komise: TNK </w:t>
      </w:r>
      <w:r>
        <w:t>9</w:t>
      </w:r>
      <w:r w:rsidRPr="005E5CE7">
        <w:t xml:space="preserve">6 </w:t>
      </w:r>
      <w:r>
        <w:t>Telekomunikace</w:t>
      </w:r>
    </w:p>
    <w:p w14:paraId="502FB0AE" w14:textId="789B163A" w:rsidR="0058116D" w:rsidRPr="008C241C" w:rsidRDefault="0058116D" w:rsidP="0058116D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4761B1">
          <w:rPr>
            <w:rStyle w:val="Hypertextovodkaz"/>
          </w:rPr>
          <w:t>Česká agentura pro standardizaci, státní příspěvková organizace</w:t>
        </w:r>
      </w:hyperlink>
    </w:p>
    <w:p w14:paraId="5099E07F" w14:textId="696013C5" w:rsidR="0058116D" w:rsidRDefault="0058116D" w:rsidP="0058116D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4761B1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4594F4E7" w14:textId="05BD31DC" w:rsidR="004776F2" w:rsidRPr="0020763D" w:rsidRDefault="0058116D" w:rsidP="004776F2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  <w:r w:rsidR="004776F2">
        <w:br w:type="page"/>
      </w:r>
    </w:p>
    <w:p w14:paraId="7E840C2B" w14:textId="77777777" w:rsidR="004776F2" w:rsidRDefault="004776F2" w:rsidP="004776F2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8AD0E04" wp14:editId="01FF9955">
                <wp:simplePos x="0" y="0"/>
                <wp:positionH relativeFrom="column">
                  <wp:posOffset>-25400</wp:posOffset>
                </wp:positionH>
                <wp:positionV relativeFrom="paragraph">
                  <wp:posOffset>-139700</wp:posOffset>
                </wp:positionV>
                <wp:extent cx="6349365" cy="571500"/>
                <wp:effectExtent l="3810" t="2540" r="0" b="0"/>
                <wp:wrapNone/>
                <wp:docPr id="11" name="Textové po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936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7997F0" w14:textId="77777777" w:rsidR="004776F2" w:rsidRDefault="004776F2" w:rsidP="004776F2">
                            <w:pPr>
                              <w:pStyle w:val="ZA"/>
                              <w:pBdr>
                                <w:bottom w:val="none" w:sz="0" w:space="0" w:color="auto"/>
                              </w:pBdr>
                              <w:jc w:val="center"/>
                              <w:rPr>
                                <w:noProof w:val="0"/>
                              </w:rPr>
                            </w:pPr>
                            <w:r>
                              <w:rPr>
                                <w:noProof w:val="0"/>
                                <w:sz w:val="64"/>
                              </w:rPr>
                              <w:t xml:space="preserve">ETSI EN 301 908-7 </w:t>
                            </w:r>
                            <w:r>
                              <w:rPr>
                                <w:noProof w:val="0"/>
                              </w:rPr>
                              <w:t>V2.2.1</w:t>
                            </w:r>
                            <w:r>
                              <w:rPr>
                                <w:rStyle w:val="ZGSM"/>
                                <w:noProof w:val="0"/>
                              </w:rPr>
                              <w:t xml:space="preserve"> </w:t>
                            </w:r>
                            <w:r>
                              <w:rPr>
                                <w:noProof w:val="0"/>
                                <w:sz w:val="32"/>
                              </w:rPr>
                              <w:t>(2003-10</w:t>
                            </w:r>
                            <w:r>
                              <w:rPr>
                                <w:noProof w:val="0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14:paraId="61C6B098" w14:textId="77777777" w:rsidR="004776F2" w:rsidRDefault="004776F2" w:rsidP="004776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AD0E04" id="_x0000_t202" coordsize="21600,21600" o:spt="202" path="m,l,21600r21600,l21600,xe">
                <v:stroke joinstyle="miter"/>
                <v:path gradientshapeok="t" o:connecttype="rect"/>
              </v:shapetype>
              <v:shape id="Textové pole 11" o:spid="_x0000_s1026" type="#_x0000_t202" style="position:absolute;margin-left:-2pt;margin-top:-11pt;width:499.95pt;height:4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" stroked="f">
                <v:textbox>
                  <w:txbxContent>
                    <w:p w14:paraId="667997F0" w14:textId="77777777" w:rsidR="004776F2" w:rsidRDefault="004776F2" w:rsidP="004776F2">
                      <w:pPr>
                        <w:pStyle w:val="ZA"/>
                        <w:pBdr>
                          <w:bottom w:val="none" w:sz="0" w:space="0" w:color="auto"/>
                        </w:pBdr>
                        <w:jc w:val="center"/>
                        <w:rPr>
                          <w:noProof w:val="0"/>
                        </w:rPr>
                      </w:pPr>
                      <w:r>
                        <w:rPr>
                          <w:noProof w:val="0"/>
                          <w:sz w:val="64"/>
                        </w:rPr>
                        <w:t xml:space="preserve">ETSI EN 301 908-7 </w:t>
                      </w:r>
                      <w:r>
                        <w:rPr>
                          <w:noProof w:val="0"/>
                        </w:rPr>
                        <w:t>V2.2.1</w:t>
                      </w:r>
                      <w:r>
                        <w:rPr>
                          <w:rStyle w:val="ZGSM"/>
                          <w:noProof w:val="0"/>
                        </w:rPr>
                        <w:t xml:space="preserve"> </w:t>
                      </w:r>
                      <w:r>
                        <w:rPr>
                          <w:noProof w:val="0"/>
                          <w:sz w:val="32"/>
                        </w:rPr>
                        <w:t>(2003-10</w:t>
                      </w:r>
                      <w:r>
                        <w:rPr>
                          <w:noProof w:val="0"/>
                          <w:sz w:val="32"/>
                          <w:szCs w:val="32"/>
                        </w:rPr>
                        <w:t>)</w:t>
                      </w:r>
                    </w:p>
                    <w:p w14:paraId="61C6B098" w14:textId="77777777" w:rsidR="004776F2" w:rsidRDefault="004776F2" w:rsidP="004776F2"/>
                  </w:txbxContent>
                </v:textbox>
              </v:shape>
            </w:pict>
          </mc:Fallback>
        </mc:AlternateContent>
      </w:r>
    </w:p>
    <w:p w14:paraId="2AD3CE0D" w14:textId="77777777" w:rsidR="004776F2" w:rsidRDefault="004776F2" w:rsidP="004776F2"/>
    <w:p w14:paraId="1A948917" w14:textId="77777777" w:rsidR="004776F2" w:rsidRPr="00847F44" w:rsidRDefault="004776F2" w:rsidP="004776F2"/>
    <w:p w14:paraId="4F5BEBF4" w14:textId="77777777" w:rsidR="004776F2" w:rsidRPr="00847F44" w:rsidRDefault="004776F2" w:rsidP="004776F2"/>
    <w:p w14:paraId="1477DD1D" w14:textId="77777777" w:rsidR="004776F2" w:rsidRPr="00847F44" w:rsidRDefault="005B14BA" w:rsidP="004776F2">
      <w:r>
        <w:rPr>
          <w:noProof/>
        </w:rPr>
        <w:drawing>
          <wp:anchor distT="0" distB="0" distL="114300" distR="114300" simplePos="0" relativeHeight="251659776" behindDoc="1" locked="0" layoutInCell="1" allowOverlap="1" wp14:anchorId="537EEA35" wp14:editId="46EBCD78">
            <wp:simplePos x="0" y="0"/>
            <wp:positionH relativeFrom="margin">
              <wp:align>center</wp:align>
            </wp:positionH>
            <wp:positionV relativeFrom="paragraph">
              <wp:posOffset>28575</wp:posOffset>
            </wp:positionV>
            <wp:extent cx="6349365" cy="2663190"/>
            <wp:effectExtent l="0" t="0" r="0" b="3810"/>
            <wp:wrapNone/>
            <wp:docPr id="9" name="Obrázek 9" descr="ETSI_BG_final_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ETSI_BG_final_new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9365" cy="266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6A6379" w14:textId="77777777" w:rsidR="004776F2" w:rsidRPr="00847F44" w:rsidRDefault="004776F2" w:rsidP="004776F2"/>
    <w:p w14:paraId="6D76ECCD" w14:textId="77777777" w:rsidR="004776F2" w:rsidRPr="00847F44" w:rsidRDefault="004776F2" w:rsidP="004776F2"/>
    <w:p w14:paraId="06675822" w14:textId="77777777" w:rsidR="004776F2" w:rsidRPr="00847F44" w:rsidRDefault="004776F2" w:rsidP="004776F2"/>
    <w:p w14:paraId="45ACB3F1" w14:textId="77777777" w:rsidR="004776F2" w:rsidRPr="00847F44" w:rsidRDefault="004776F2" w:rsidP="004776F2"/>
    <w:p w14:paraId="0D80091C" w14:textId="77777777" w:rsidR="004776F2" w:rsidRPr="00847F44" w:rsidRDefault="004776F2" w:rsidP="004776F2"/>
    <w:p w14:paraId="03EA2183" w14:textId="77777777" w:rsidR="004776F2" w:rsidRPr="00847F44" w:rsidRDefault="004776F2" w:rsidP="004776F2"/>
    <w:p w14:paraId="481443C1" w14:textId="77777777" w:rsidR="004776F2" w:rsidRPr="00847F44" w:rsidRDefault="004776F2" w:rsidP="004776F2"/>
    <w:p w14:paraId="4C78208C" w14:textId="77777777" w:rsidR="004776F2" w:rsidRPr="00847F44" w:rsidRDefault="004776F2" w:rsidP="004776F2"/>
    <w:p w14:paraId="3785881B" w14:textId="77777777" w:rsidR="004776F2" w:rsidRPr="00847F44" w:rsidRDefault="004776F2" w:rsidP="004776F2"/>
    <w:p w14:paraId="18C34735" w14:textId="77777777" w:rsidR="004776F2" w:rsidRPr="00847F44" w:rsidRDefault="004776F2" w:rsidP="004776F2"/>
    <w:p w14:paraId="168F761A" w14:textId="77777777" w:rsidR="004776F2" w:rsidRPr="00847F44" w:rsidRDefault="004776F2" w:rsidP="004776F2"/>
    <w:p w14:paraId="18B27F9E" w14:textId="77777777" w:rsidR="004776F2" w:rsidRPr="00847F44" w:rsidRDefault="004776F2" w:rsidP="004776F2"/>
    <w:p w14:paraId="12D67E68" w14:textId="77777777" w:rsidR="004776F2" w:rsidRPr="00DA1352" w:rsidRDefault="004776F2" w:rsidP="004776F2">
      <w:pPr>
        <w:pStyle w:val="ZB"/>
        <w:framePr w:w="6341" w:h="450" w:hRule="exact" w:wrap="notBeside" w:hAnchor="page" w:x="1156" w:y="5731"/>
        <w:jc w:val="left"/>
        <w:rPr>
          <w:rFonts w:ascii="Century Gothic" w:hAnsi="Century Gothic"/>
          <w:b/>
          <w:i w:val="0"/>
          <w:color w:val="FFFFFF"/>
          <w:sz w:val="32"/>
          <w:szCs w:val="32"/>
        </w:rPr>
      </w:pPr>
      <w:r w:rsidRPr="00DA1352">
        <w:rPr>
          <w:rFonts w:ascii="Century Gothic" w:hAnsi="Century Gothic"/>
          <w:b/>
          <w:i w:val="0"/>
          <w:noProof w:val="0"/>
          <w:color w:val="FFFFFF"/>
          <w:sz w:val="32"/>
          <w:szCs w:val="32"/>
        </w:rPr>
        <w:t>Harmoniz</w:t>
      </w:r>
      <w:r>
        <w:rPr>
          <w:rFonts w:ascii="Century Gothic" w:hAnsi="Century Gothic"/>
          <w:b/>
          <w:i w:val="0"/>
          <w:noProof w:val="0"/>
          <w:color w:val="FFFFFF"/>
          <w:sz w:val="32"/>
          <w:szCs w:val="32"/>
        </w:rPr>
        <w:t>ovaná</w:t>
      </w:r>
      <w:r w:rsidRPr="00DA1352">
        <w:rPr>
          <w:rFonts w:ascii="Century Gothic" w:hAnsi="Century Gothic"/>
          <w:b/>
          <w:i w:val="0"/>
          <w:noProof w:val="0"/>
          <w:color w:val="FFFFFF"/>
          <w:sz w:val="32"/>
          <w:szCs w:val="32"/>
        </w:rPr>
        <w:t xml:space="preserve"> </w:t>
      </w:r>
      <w:r>
        <w:rPr>
          <w:rFonts w:ascii="Century Gothic" w:hAnsi="Century Gothic"/>
          <w:b/>
          <w:i w:val="0"/>
          <w:noProof w:val="0"/>
          <w:color w:val="FFFFFF"/>
          <w:sz w:val="32"/>
          <w:szCs w:val="32"/>
        </w:rPr>
        <w:t>evropská</w:t>
      </w:r>
      <w:r w:rsidRPr="00DA1352">
        <w:rPr>
          <w:rFonts w:ascii="Century Gothic" w:hAnsi="Century Gothic"/>
          <w:b/>
          <w:i w:val="0"/>
          <w:noProof w:val="0"/>
          <w:color w:val="FFFFFF"/>
          <w:sz w:val="32"/>
          <w:szCs w:val="32"/>
        </w:rPr>
        <w:t xml:space="preserve"> </w:t>
      </w:r>
      <w:r>
        <w:rPr>
          <w:rFonts w:ascii="Century Gothic" w:hAnsi="Century Gothic"/>
          <w:b/>
          <w:i w:val="0"/>
          <w:noProof w:val="0"/>
          <w:color w:val="FFFFFF"/>
          <w:sz w:val="32"/>
          <w:szCs w:val="32"/>
        </w:rPr>
        <w:t>norma</w:t>
      </w:r>
    </w:p>
    <w:p w14:paraId="49BC237D" w14:textId="77777777" w:rsidR="004776F2" w:rsidRPr="00847F44" w:rsidRDefault="004776F2" w:rsidP="004776F2"/>
    <w:p w14:paraId="51AA45BB" w14:textId="77777777" w:rsidR="004776F2" w:rsidRPr="00847F44" w:rsidRDefault="004776F2" w:rsidP="004776F2"/>
    <w:p w14:paraId="0C41F02D" w14:textId="77777777" w:rsidR="004776F2" w:rsidRDefault="004776F2" w:rsidP="004776F2"/>
    <w:p w14:paraId="58A7AEA3" w14:textId="77777777" w:rsidR="004776F2" w:rsidRDefault="004776F2" w:rsidP="004776F2"/>
    <w:p w14:paraId="33E37736" w14:textId="77777777" w:rsidR="004776F2" w:rsidRDefault="004776F2" w:rsidP="004776F2">
      <w:pPr>
        <w:jc w:val="right"/>
      </w:pPr>
    </w:p>
    <w:p w14:paraId="38611DD9" w14:textId="77777777" w:rsidR="004776F2" w:rsidRDefault="004776F2" w:rsidP="004776F2">
      <w:pPr>
        <w:jc w:val="right"/>
      </w:pPr>
    </w:p>
    <w:p w14:paraId="00C2CF66" w14:textId="77777777" w:rsidR="004776F2" w:rsidRDefault="004776F2" w:rsidP="004776F2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7209A475" wp14:editId="76F71330">
                <wp:simplePos x="0" y="0"/>
                <wp:positionH relativeFrom="column">
                  <wp:posOffset>-25400</wp:posOffset>
                </wp:positionH>
                <wp:positionV relativeFrom="paragraph">
                  <wp:posOffset>32385</wp:posOffset>
                </wp:positionV>
                <wp:extent cx="6349365" cy="3856990"/>
                <wp:effectExtent l="3810" t="635" r="0" b="0"/>
                <wp:wrapThrough wrapText="bothSides">
                  <wp:wrapPolygon edited="0">
                    <wp:start x="-32" y="0"/>
                    <wp:lineTo x="-32" y="21547"/>
                    <wp:lineTo x="21600" y="21547"/>
                    <wp:lineTo x="21600" y="0"/>
                    <wp:lineTo x="-32" y="0"/>
                  </wp:wrapPolygon>
                </wp:wrapThrough>
                <wp:docPr id="8" name="Textové po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9365" cy="3856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304B4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Elektromagnetická kompatibilita</w:t>
                            </w:r>
                            <w:r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a rádiové spektrum (ERM)</w:t>
                            </w:r>
                            <w:r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 xml:space="preserve"> –</w:t>
                            </w:r>
                          </w:p>
                          <w:p w14:paraId="5C682C1B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Základnové stanice (BS), opakovače a uživatelská zařízení (UE)</w:t>
                            </w:r>
                            <w:r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buňkových sítí IMT-2000 třetí generace</w:t>
                            </w:r>
                            <w:r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 xml:space="preserve"> –</w:t>
                            </w:r>
                          </w:p>
                          <w:p w14:paraId="2370E2EC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Část 7: Harmonizovaná EN</w:t>
                            </w:r>
                            <w:r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pokrývající základní požadavky</w:t>
                            </w:r>
                          </w:p>
                          <w:p w14:paraId="3CBE4CC7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>článku 3.2 Směrnice R&amp;TTE na IMT-2000,</w:t>
                            </w:r>
                            <w:r>
                              <w:rPr>
                                <w:rFonts w:cs="Arial"/>
                                <w:bCs/>
                                <w:color w:val="000000"/>
                                <w:szCs w:val="34"/>
                              </w:rPr>
                              <w:t xml:space="preserve"> </w:t>
                            </w:r>
                          </w:p>
                          <w:p w14:paraId="6B944E59" w14:textId="77777777" w:rsidR="004776F2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Cs/>
                                <w:color w:val="000000"/>
                                <w:szCs w:val="34"/>
                                <w:lang w:val="cs-CZ"/>
                              </w:rPr>
                            </w:pPr>
                            <w:r w:rsidRPr="001C56AA">
                              <w:rPr>
                                <w:rFonts w:cs="Arial"/>
                                <w:bCs/>
                                <w:color w:val="000000"/>
                                <w:szCs w:val="34"/>
                                <w:lang w:val="cs-CZ"/>
                              </w:rPr>
                              <w:t>CDMA TDD (UTRA TDD) (BS)</w:t>
                            </w:r>
                          </w:p>
                          <w:p w14:paraId="338EA74A" w14:textId="77777777" w:rsidR="004776F2" w:rsidRDefault="004776F2" w:rsidP="004776F2">
                            <w:pPr>
                              <w:pStyle w:val="ZT"/>
                              <w:jc w:val="center"/>
                            </w:pPr>
                          </w:p>
                          <w:p w14:paraId="02B49E93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 w:val="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Electromagnetic compatibility</w:t>
                            </w:r>
                            <w:r>
                              <w:rPr>
                                <w:rFonts w:cs="Arial"/>
                                <w:b w:val="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and Radio spectrum Matters (ERM);</w:t>
                            </w:r>
                          </w:p>
                          <w:p w14:paraId="663414F6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 w:val="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Base Stations (BS), Repeaters and User Equipment (UE) for</w:t>
                            </w:r>
                            <w:r>
                              <w:rPr>
                                <w:rFonts w:cs="Arial"/>
                                <w:b w:val="0"/>
                                <w:szCs w:val="34"/>
                              </w:rPr>
                              <w:t xml:space="preserve"> </w:t>
                            </w:r>
                          </w:p>
                          <w:p w14:paraId="77151DF9" w14:textId="77777777" w:rsidR="004776F2" w:rsidRPr="001C56AA" w:rsidRDefault="004776F2" w:rsidP="004776F2">
                            <w:pPr>
                              <w:pStyle w:val="ZT"/>
                              <w:jc w:val="center"/>
                              <w:rPr>
                                <w:rFonts w:cs="Arial"/>
                                <w:b w:val="0"/>
                                <w:szCs w:val="34"/>
                              </w:rPr>
                            </w:pP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IMT-2000 Third-Generation cellular networks;</w:t>
                            </w:r>
                          </w:p>
                          <w:p w14:paraId="002BCCED" w14:textId="77777777" w:rsidR="004776F2" w:rsidRDefault="004776F2" w:rsidP="004776F2">
                            <w:pPr>
                              <w:pStyle w:val="ZT"/>
                              <w:jc w:val="center"/>
                            </w:pP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Part 7: Harmonized EN for IMT-2000,</w:t>
                            </w:r>
                            <w:r>
                              <w:rPr>
                                <w:rFonts w:cs="Arial"/>
                                <w:b w:val="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CDMA TDD (UTRA TDD) (BS)</w:t>
                            </w:r>
                            <w:r>
                              <w:rPr>
                                <w:rFonts w:cs="Arial"/>
                                <w:b w:val="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</w:rPr>
                              <w:t>covering essential requirements</w:t>
                            </w:r>
                            <w:r>
                              <w:rPr>
                                <w:rFonts w:cs="Arial"/>
                                <w:b w:val="0"/>
                                <w:szCs w:val="34"/>
                              </w:rPr>
                              <w:t xml:space="preserve"> </w:t>
                            </w:r>
                            <w:r w:rsidRPr="001C56AA">
                              <w:rPr>
                                <w:rFonts w:cs="Arial"/>
                                <w:b w:val="0"/>
                                <w:szCs w:val="34"/>
                                <w:lang w:val="cs-CZ" w:eastAsia="cs-CZ"/>
                              </w:rPr>
                              <w:t>of article 3.2 of the R&amp;TTE Directive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9A475" id="Textové pole 8" o:spid="_x0000_s1027" type="#_x0000_t202" style="position:absolute;left:0;text-align:left;margin-left:-2pt;margin-top:2.55pt;width:499.95pt;height:303.7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" stroked="f">
                <v:textbox>
                  <w:txbxContent>
                    <w:p w14:paraId="0AD304B4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Cs/>
                          <w:color w:val="000000"/>
                          <w:szCs w:val="34"/>
                        </w:rPr>
                      </w:pP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Elektromagnetická kompatibilita</w:t>
                      </w:r>
                      <w:r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a rádiové spektrum (ERM)</w:t>
                      </w:r>
                      <w:r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 xml:space="preserve"> –</w:t>
                      </w:r>
                    </w:p>
                    <w:p w14:paraId="5C682C1B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Cs/>
                          <w:color w:val="000000"/>
                          <w:szCs w:val="34"/>
                        </w:rPr>
                      </w:pP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Základnové stanice (BS), opakovače a uživatelská zařízení (UE)</w:t>
                      </w:r>
                      <w:r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buňkových sítí IMT-2000 třetí generace</w:t>
                      </w:r>
                      <w:r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 xml:space="preserve"> –</w:t>
                      </w:r>
                    </w:p>
                    <w:p w14:paraId="2370E2EC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Cs/>
                          <w:color w:val="000000"/>
                          <w:szCs w:val="34"/>
                        </w:rPr>
                      </w:pP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Část 7: Harmonizovaná EN</w:t>
                      </w:r>
                      <w:r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pokrývající základní požadavky</w:t>
                      </w:r>
                    </w:p>
                    <w:p w14:paraId="3CBE4CC7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Cs/>
                          <w:color w:val="000000"/>
                          <w:szCs w:val="34"/>
                        </w:rPr>
                      </w:pP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>článku 3.2 Směrnice R&amp;TTE na IMT-2000,</w:t>
                      </w:r>
                      <w:r>
                        <w:rPr>
                          <w:rFonts w:cs="Arial"/>
                          <w:bCs/>
                          <w:color w:val="000000"/>
                          <w:szCs w:val="34"/>
                        </w:rPr>
                        <w:t xml:space="preserve"> </w:t>
                      </w:r>
                    </w:p>
                    <w:p w14:paraId="6B944E59" w14:textId="77777777" w:rsidR="004776F2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Cs/>
                          <w:color w:val="000000"/>
                          <w:szCs w:val="34"/>
                          <w:lang w:val="cs-CZ"/>
                        </w:rPr>
                      </w:pPr>
                      <w:r w:rsidRPr="001C56AA">
                        <w:rPr>
                          <w:rFonts w:cs="Arial"/>
                          <w:bCs/>
                          <w:color w:val="000000"/>
                          <w:szCs w:val="34"/>
                          <w:lang w:val="cs-CZ"/>
                        </w:rPr>
                        <w:t>CDMA TDD (UTRA TDD) (BS)</w:t>
                      </w:r>
                    </w:p>
                    <w:p w14:paraId="338EA74A" w14:textId="77777777" w:rsidR="004776F2" w:rsidRDefault="004776F2" w:rsidP="004776F2">
                      <w:pPr>
                        <w:pStyle w:val="ZT"/>
                        <w:jc w:val="center"/>
                      </w:pPr>
                    </w:p>
                    <w:p w14:paraId="02B49E93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 w:val="0"/>
                          <w:szCs w:val="34"/>
                        </w:rPr>
                      </w:pP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Electromagnetic compatibility</w:t>
                      </w:r>
                      <w:r>
                        <w:rPr>
                          <w:rFonts w:cs="Arial"/>
                          <w:b w:val="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and Radio spectrum Matters (ERM);</w:t>
                      </w:r>
                    </w:p>
                    <w:p w14:paraId="663414F6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 w:val="0"/>
                          <w:szCs w:val="34"/>
                        </w:rPr>
                      </w:pP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Base Stations (BS), Repeaters and User Equipment (UE) for</w:t>
                      </w:r>
                      <w:r>
                        <w:rPr>
                          <w:rFonts w:cs="Arial"/>
                          <w:b w:val="0"/>
                          <w:szCs w:val="34"/>
                        </w:rPr>
                        <w:t xml:space="preserve"> </w:t>
                      </w:r>
                    </w:p>
                    <w:p w14:paraId="77151DF9" w14:textId="77777777" w:rsidR="004776F2" w:rsidRPr="001C56AA" w:rsidRDefault="004776F2" w:rsidP="004776F2">
                      <w:pPr>
                        <w:pStyle w:val="ZT"/>
                        <w:jc w:val="center"/>
                        <w:rPr>
                          <w:rFonts w:cs="Arial"/>
                          <w:b w:val="0"/>
                          <w:szCs w:val="34"/>
                        </w:rPr>
                      </w:pP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IMT-2000 Third-Generation cellular networks;</w:t>
                      </w:r>
                    </w:p>
                    <w:p w14:paraId="002BCCED" w14:textId="77777777" w:rsidR="004776F2" w:rsidRDefault="004776F2" w:rsidP="004776F2">
                      <w:pPr>
                        <w:pStyle w:val="ZT"/>
                        <w:jc w:val="center"/>
                      </w:pP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Part 7: Harmonized EN for IMT-2000,</w:t>
                      </w:r>
                      <w:r>
                        <w:rPr>
                          <w:rFonts w:cs="Arial"/>
                          <w:b w:val="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CDMA TDD (UTRA TDD) (BS)</w:t>
                      </w:r>
                      <w:r>
                        <w:rPr>
                          <w:rFonts w:cs="Arial"/>
                          <w:b w:val="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 w:val="0"/>
                          <w:szCs w:val="34"/>
                        </w:rPr>
                        <w:t>covering essential requirements</w:t>
                      </w:r>
                      <w:r>
                        <w:rPr>
                          <w:rFonts w:cs="Arial"/>
                          <w:b w:val="0"/>
                          <w:szCs w:val="34"/>
                        </w:rPr>
                        <w:t xml:space="preserve"> </w:t>
                      </w:r>
                      <w:r w:rsidRPr="001C56AA">
                        <w:rPr>
                          <w:rFonts w:cs="Arial"/>
                          <w:b w:val="0"/>
                          <w:szCs w:val="34"/>
                          <w:lang w:val="cs-CZ" w:eastAsia="cs-CZ"/>
                        </w:rPr>
                        <w:t>of article 3.2 of the R&amp;TTE Directive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C9B2D0F" w14:textId="77777777" w:rsidR="004776F2" w:rsidRPr="00847F44" w:rsidRDefault="004776F2" w:rsidP="004776F2">
      <w:pPr>
        <w:jc w:val="right"/>
      </w:pP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3"/>
      </w:tblGrid>
      <w:tr w:rsidR="004776F2" w:rsidRPr="0020763D" w14:paraId="7528ABB9" w14:textId="77777777" w:rsidTr="00514E6B">
        <w:trPr>
          <w:trHeight w:hRule="exact" w:val="1134"/>
          <w:jc w:val="center"/>
        </w:trPr>
        <w:tc>
          <w:tcPr>
            <w:tcW w:w="9923" w:type="dxa"/>
          </w:tcPr>
          <w:p w14:paraId="781C6A58" w14:textId="77777777" w:rsidR="004776F2" w:rsidRPr="0020763D" w:rsidRDefault="004776F2" w:rsidP="00514E6B">
            <w:pPr>
              <w:pageBreakBefore/>
              <w:rPr>
                <w:kern w:val="28"/>
              </w:rPr>
            </w:pPr>
          </w:p>
        </w:tc>
      </w:tr>
      <w:tr w:rsidR="004776F2" w:rsidRPr="0020763D" w14:paraId="447ABB89" w14:textId="77777777" w:rsidTr="00346631">
        <w:trPr>
          <w:trHeight w:hRule="exact" w:val="1973"/>
          <w:jc w:val="center"/>
        </w:trPr>
        <w:tc>
          <w:tcPr>
            <w:tcW w:w="9923" w:type="dxa"/>
          </w:tcPr>
          <w:p w14:paraId="3450DEDB" w14:textId="77777777" w:rsidR="004776F2" w:rsidRPr="0020763D" w:rsidRDefault="004776F2" w:rsidP="00514E6B">
            <w:pPr>
              <w:pStyle w:val="ETSI-2str-Linka"/>
            </w:pPr>
            <w:r w:rsidRPr="0020763D">
              <w:t>Reference</w:t>
            </w:r>
          </w:p>
          <w:p w14:paraId="1D823AC6" w14:textId="77777777" w:rsidR="004776F2" w:rsidRPr="0020763D" w:rsidRDefault="004776F2" w:rsidP="00514E6B">
            <w:pPr>
              <w:pStyle w:val="ETSI-2str"/>
            </w:pPr>
            <w:r w:rsidRPr="0020763D">
              <w:t>REN/ERM-TFES-002-7</w:t>
            </w:r>
          </w:p>
          <w:p w14:paraId="28156EC9" w14:textId="77777777" w:rsidR="004776F2" w:rsidRPr="0020763D" w:rsidRDefault="004776F2" w:rsidP="00514E6B">
            <w:pPr>
              <w:pStyle w:val="ETSI-2str"/>
            </w:pPr>
          </w:p>
          <w:p w14:paraId="5947D8FA" w14:textId="77777777" w:rsidR="004776F2" w:rsidRPr="0020763D" w:rsidRDefault="004776F2" w:rsidP="00514E6B">
            <w:pPr>
              <w:pStyle w:val="ETSI-2str-Linka"/>
            </w:pPr>
            <w:r w:rsidRPr="0020763D">
              <w:t>Klíčová slova</w:t>
            </w:r>
          </w:p>
          <w:p w14:paraId="345BE55C" w14:textId="77777777" w:rsidR="004776F2" w:rsidRPr="0020763D" w:rsidRDefault="004776F2" w:rsidP="00514E6B">
            <w:pPr>
              <w:pStyle w:val="ETSI-2str"/>
              <w:rPr>
                <w:kern w:val="28"/>
              </w:rPr>
            </w:pPr>
            <w:r w:rsidRPr="0020763D">
              <w:t>3G, 3GPP, cell, digital, IMT-2000, mobile, radio,</w:t>
            </w:r>
            <w:r w:rsidRPr="0020763D">
              <w:br/>
              <w:t>regulation, TD-CDMA, TDD, UMTS</w:t>
            </w:r>
          </w:p>
        </w:tc>
      </w:tr>
      <w:tr w:rsidR="004776F2" w:rsidRPr="0020763D" w14:paraId="2A52DE42" w14:textId="77777777" w:rsidTr="002E1445">
        <w:trPr>
          <w:trHeight w:hRule="exact" w:val="8946"/>
          <w:jc w:val="center"/>
        </w:trPr>
        <w:tc>
          <w:tcPr>
            <w:tcW w:w="9923" w:type="dxa"/>
          </w:tcPr>
          <w:p w14:paraId="33794AB1" w14:textId="77777777" w:rsidR="004776F2" w:rsidRPr="006D69F9" w:rsidRDefault="004776F2" w:rsidP="00514E6B">
            <w:pPr>
              <w:pStyle w:val="ETSI-2str"/>
              <w:rPr>
                <w:b/>
                <w:i/>
                <w:sz w:val="20"/>
              </w:rPr>
            </w:pPr>
            <w:r w:rsidRPr="006D69F9">
              <w:rPr>
                <w:b/>
                <w:i/>
                <w:sz w:val="20"/>
              </w:rPr>
              <w:t>ETSI</w:t>
            </w:r>
          </w:p>
          <w:p w14:paraId="4F332C8F" w14:textId="77777777" w:rsidR="004776F2" w:rsidRPr="006D69F9" w:rsidRDefault="004776F2" w:rsidP="00514E6B">
            <w:pPr>
              <w:pStyle w:val="ETSI-2str"/>
            </w:pPr>
          </w:p>
          <w:p w14:paraId="794155FE" w14:textId="77777777" w:rsidR="004776F2" w:rsidRPr="006D69F9" w:rsidRDefault="004776F2" w:rsidP="00514E6B">
            <w:pPr>
              <w:pStyle w:val="ETSI-2str"/>
            </w:pPr>
            <w:r w:rsidRPr="006D69F9">
              <w:t>650 Route des Lucioles</w:t>
            </w:r>
          </w:p>
          <w:p w14:paraId="5A8CEEA1" w14:textId="77777777" w:rsidR="004776F2" w:rsidRPr="006D69F9" w:rsidRDefault="004776F2" w:rsidP="00514E6B">
            <w:pPr>
              <w:pStyle w:val="ETSI-2str-Linka"/>
            </w:pPr>
            <w:r w:rsidRPr="006D69F9">
              <w:t>F-06921 Sophia Antipolis Cedex – FRANCIE</w:t>
            </w:r>
          </w:p>
          <w:p w14:paraId="6BAB6BFB" w14:textId="77777777" w:rsidR="004776F2" w:rsidRPr="006D69F9" w:rsidRDefault="004776F2" w:rsidP="00514E6B">
            <w:pPr>
              <w:pStyle w:val="ETSI-2str"/>
            </w:pPr>
          </w:p>
          <w:p w14:paraId="2A5A5FB1" w14:textId="77777777" w:rsidR="004776F2" w:rsidRPr="006D69F9" w:rsidRDefault="004776F2" w:rsidP="00514E6B">
            <w:pPr>
              <w:pStyle w:val="ETSI-2str"/>
              <w:rPr>
                <w:noProof w:val="0"/>
                <w:lang w:val="en-US"/>
              </w:rPr>
            </w:pPr>
            <w:r w:rsidRPr="006D69F9">
              <w:rPr>
                <w:noProof w:val="0"/>
                <w:lang w:val="en-US"/>
              </w:rPr>
              <w:t>Tel.: +33 4 92 94 42 00   Fax: +33 4 93 65 47 16</w:t>
            </w:r>
          </w:p>
          <w:p w14:paraId="6815C52B" w14:textId="77777777" w:rsidR="004776F2" w:rsidRPr="006D69F9" w:rsidRDefault="004776F2" w:rsidP="00514E6B">
            <w:pPr>
              <w:pStyle w:val="ETSI-2str"/>
              <w:rPr>
                <w:noProof w:val="0"/>
                <w:lang w:val="en-US"/>
              </w:rPr>
            </w:pPr>
          </w:p>
          <w:p w14:paraId="2639E17B" w14:textId="59F59429" w:rsidR="004776F2" w:rsidRPr="006D69F9" w:rsidRDefault="004776F2" w:rsidP="00514E6B">
            <w:pPr>
              <w:pStyle w:val="ETSI-2str"/>
              <w:rPr>
                <w:noProof w:val="0"/>
                <w:sz w:val="16"/>
                <w:lang w:val="en-US"/>
              </w:rPr>
            </w:pPr>
            <w:r w:rsidRPr="006D69F9">
              <w:rPr>
                <w:noProof w:val="0"/>
                <w:sz w:val="16"/>
                <w:lang w:val="en-US"/>
              </w:rPr>
              <w:t xml:space="preserve">Siret N° 348 623 562 00017 – </w:t>
            </w:r>
            <w:r w:rsidR="00844026">
              <w:rPr>
                <w:noProof w:val="0"/>
                <w:sz w:val="16"/>
                <w:lang w:val="en-US"/>
              </w:rPr>
              <w:t>APE</w:t>
            </w:r>
            <w:r w:rsidRPr="006D69F9">
              <w:rPr>
                <w:noProof w:val="0"/>
                <w:sz w:val="16"/>
                <w:lang w:val="en-US"/>
              </w:rPr>
              <w:t xml:space="preserve"> 7</w:t>
            </w:r>
            <w:r w:rsidR="00844026">
              <w:rPr>
                <w:noProof w:val="0"/>
                <w:sz w:val="16"/>
                <w:lang w:val="en-US"/>
              </w:rPr>
              <w:t>112B</w:t>
            </w:r>
          </w:p>
          <w:p w14:paraId="158C03E1" w14:textId="77777777" w:rsidR="004776F2" w:rsidRPr="006D69F9" w:rsidRDefault="004776F2" w:rsidP="00514E6B">
            <w:pPr>
              <w:pStyle w:val="ETSI-2str"/>
              <w:rPr>
                <w:noProof w:val="0"/>
                <w:sz w:val="16"/>
                <w:lang w:val="en-US"/>
              </w:rPr>
            </w:pPr>
            <w:r w:rsidRPr="006D69F9">
              <w:rPr>
                <w:noProof w:val="0"/>
                <w:sz w:val="16"/>
                <w:lang w:val="en-US"/>
              </w:rPr>
              <w:t>Nezisková asociace registrovaná</w:t>
            </w:r>
          </w:p>
          <w:p w14:paraId="377D7A33" w14:textId="3D41D1A5" w:rsidR="004776F2" w:rsidRPr="006D69F9" w:rsidRDefault="004776F2" w:rsidP="00514E6B">
            <w:pPr>
              <w:pStyle w:val="ETSI-2str"/>
              <w:rPr>
                <w:noProof w:val="0"/>
                <w:sz w:val="16"/>
                <w:lang w:val="en-US"/>
              </w:rPr>
            </w:pPr>
            <w:r w:rsidRPr="006D69F9">
              <w:rPr>
                <w:noProof w:val="0"/>
                <w:sz w:val="16"/>
                <w:lang w:val="en-US"/>
              </w:rPr>
              <w:t xml:space="preserve">u podprefektury de Grasse (06) N° </w:t>
            </w:r>
            <w:r w:rsidR="00844026">
              <w:rPr>
                <w:noProof w:val="0"/>
                <w:sz w:val="16"/>
                <w:lang w:val="en-US"/>
              </w:rPr>
              <w:t>w061004871</w:t>
            </w:r>
          </w:p>
          <w:p w14:paraId="19C81F18" w14:textId="77777777" w:rsidR="004776F2" w:rsidRPr="006D69F9" w:rsidRDefault="004776F2" w:rsidP="00514E6B">
            <w:pPr>
              <w:pStyle w:val="ETSI-2str-Linka"/>
              <w:rPr>
                <w:b/>
                <w:i/>
              </w:rPr>
            </w:pPr>
          </w:p>
          <w:p w14:paraId="2D5D8E26" w14:textId="77777777" w:rsidR="004776F2" w:rsidRPr="006D69F9" w:rsidRDefault="004776F2" w:rsidP="00514E6B">
            <w:pPr>
              <w:pStyle w:val="ETSI-2str-Linka"/>
              <w:rPr>
                <w:b/>
                <w:i/>
              </w:rPr>
            </w:pPr>
            <w:r w:rsidRPr="006D69F9">
              <w:rPr>
                <w:b/>
                <w:i/>
              </w:rPr>
              <w:t>Důležitá poznámka</w:t>
            </w:r>
          </w:p>
          <w:p w14:paraId="4F761AA9" w14:textId="46BF37E5" w:rsidR="004776F2" w:rsidRPr="006D69F9" w:rsidRDefault="00A50412" w:rsidP="002E1445">
            <w:pPr>
              <w:pStyle w:val="ETSI-2str"/>
              <w:spacing w:before="120"/>
            </w:pPr>
            <w:r w:rsidRPr="006D69F9">
              <w:t>Tento dokument</w:t>
            </w:r>
            <w:r w:rsidR="004776F2" w:rsidRPr="006D69F9">
              <w:t xml:space="preserve"> m</w:t>
            </w:r>
            <w:r w:rsidRPr="006D69F9">
              <w:t>ůže</w:t>
            </w:r>
            <w:r w:rsidR="004776F2" w:rsidRPr="006D69F9">
              <w:t xml:space="preserve"> být stažen z:</w:t>
            </w:r>
            <w:r w:rsidR="004776F2" w:rsidRPr="006D69F9">
              <w:br/>
            </w:r>
            <w:r w:rsidR="004776F2" w:rsidRPr="006D69F9">
              <w:rPr>
                <w:u w:val="single"/>
              </w:rPr>
              <w:t>http://www.et</w:t>
            </w:r>
            <w:bookmarkStart w:id="0" w:name="_Hlt44823517"/>
            <w:r w:rsidR="004776F2" w:rsidRPr="006D69F9">
              <w:rPr>
                <w:u w:val="single"/>
              </w:rPr>
              <w:t>s</w:t>
            </w:r>
            <w:bookmarkEnd w:id="0"/>
            <w:r w:rsidR="004776F2" w:rsidRPr="006D69F9">
              <w:rPr>
                <w:u w:val="single"/>
              </w:rPr>
              <w:t>i.org</w:t>
            </w:r>
            <w:r w:rsidRPr="006D69F9">
              <w:rPr>
                <w:u w:val="single"/>
              </w:rPr>
              <w:t>/standards-search</w:t>
            </w:r>
          </w:p>
          <w:p w14:paraId="20CA6D3A" w14:textId="7268E111" w:rsidR="004776F2" w:rsidRPr="006D69F9" w:rsidRDefault="008C404B" w:rsidP="002E1445">
            <w:pPr>
              <w:pStyle w:val="ETSI-2str"/>
              <w:spacing w:before="120"/>
              <w:rPr>
                <w:szCs w:val="18"/>
              </w:rPr>
            </w:pPr>
            <w:r w:rsidRPr="006D69F9">
              <w:rPr>
                <w:szCs w:val="18"/>
              </w:rPr>
              <w:t xml:space="preserve">Tento dokument smí být zpřístupněn v elektronických verzích a/nebo v tištěné podobě. Obsah žádné elektronické a/nebo tištěné verze tohoto dokumentu nesmí být upraven bez předchozího písemného svolení ETSI. V případě jakéhokoli existujícího nebo vnímaného rozdílu v obsahu těchto verzí a/nebo v tištěné podobě je referenční verzí ta, která je veřejně dostupná ve formátu PDF na </w:t>
            </w:r>
            <w:r w:rsidRPr="00346631">
              <w:rPr>
                <w:szCs w:val="18"/>
                <w:u w:val="single"/>
              </w:rPr>
              <w:t>www.etsi.org/deliver</w:t>
            </w:r>
            <w:r w:rsidRPr="006D69F9">
              <w:rPr>
                <w:szCs w:val="18"/>
              </w:rPr>
              <w:t>.</w:t>
            </w:r>
          </w:p>
          <w:p w14:paraId="23727DAC" w14:textId="39C75D7A" w:rsidR="004776F2" w:rsidRPr="006D69F9" w:rsidRDefault="004776F2" w:rsidP="002E1445">
            <w:pPr>
              <w:pStyle w:val="ETSI-2str"/>
              <w:spacing w:before="120"/>
            </w:pPr>
            <w:r w:rsidRPr="006D69F9">
              <w:t>Uživatelé t</w:t>
            </w:r>
            <w:r w:rsidR="00C7424D" w:rsidRPr="006D69F9">
              <w:t>ohoto</w:t>
            </w:r>
            <w:r w:rsidRPr="006D69F9">
              <w:t xml:space="preserve"> </w:t>
            </w:r>
            <w:r w:rsidR="00C7424D" w:rsidRPr="006D69F9">
              <w:t>dokumentu</w:t>
            </w:r>
            <w:r w:rsidRPr="006D69F9">
              <w:t xml:space="preserve"> by si měli být vědomi, že </w:t>
            </w:r>
            <w:r w:rsidR="00C7424D" w:rsidRPr="006D69F9">
              <w:t>dokument</w:t>
            </w:r>
            <w:r w:rsidRPr="006D69F9">
              <w:t xml:space="preserve"> může podléhat revizi nebo změně statusu.</w:t>
            </w:r>
            <w:r w:rsidRPr="006D69F9">
              <w:br/>
              <w:t>Informace o stávajícím statusu t</w:t>
            </w:r>
            <w:r w:rsidR="00C7424D" w:rsidRPr="006D69F9">
              <w:t>ohoto</w:t>
            </w:r>
            <w:r w:rsidRPr="006D69F9">
              <w:t xml:space="preserve"> </w:t>
            </w:r>
            <w:r w:rsidR="00C7424D" w:rsidRPr="006D69F9">
              <w:t>dokumentu</w:t>
            </w:r>
            <w:r w:rsidRPr="006D69F9">
              <w:t xml:space="preserve"> a jiných </w:t>
            </w:r>
            <w:r w:rsidR="00C7424D" w:rsidRPr="006D69F9">
              <w:t>dokumentů</w:t>
            </w:r>
            <w:r w:rsidRPr="006D69F9">
              <w:t xml:space="preserve"> ETSI jsou dostupné na </w:t>
            </w:r>
            <w:r w:rsidRPr="006D69F9">
              <w:br/>
            </w:r>
            <w:r w:rsidRPr="006D69F9">
              <w:rPr>
                <w:u w:val="single"/>
              </w:rPr>
              <w:t>http</w:t>
            </w:r>
            <w:r w:rsidR="00C7424D" w:rsidRPr="006D69F9">
              <w:rPr>
                <w:u w:val="single"/>
              </w:rPr>
              <w:t>s</w:t>
            </w:r>
            <w:r w:rsidRPr="006D69F9">
              <w:rPr>
                <w:u w:val="single"/>
              </w:rPr>
              <w:t>://portal.etsi.org/</w:t>
            </w:r>
            <w:r w:rsidR="00C7424D" w:rsidRPr="006D69F9">
              <w:rPr>
                <w:u w:val="single"/>
              </w:rPr>
              <w:t>TB</w:t>
            </w:r>
            <w:r w:rsidRPr="006D69F9">
              <w:rPr>
                <w:u w:val="single"/>
              </w:rPr>
              <w:t>/</w:t>
            </w:r>
            <w:r w:rsidR="00C7424D" w:rsidRPr="006D69F9">
              <w:rPr>
                <w:u w:val="single"/>
              </w:rPr>
              <w:t>ETSIDeliverableS</w:t>
            </w:r>
            <w:r w:rsidRPr="006D69F9">
              <w:rPr>
                <w:u w:val="single"/>
              </w:rPr>
              <w:t>tatus.asp</w:t>
            </w:r>
            <w:r w:rsidR="00C7424D" w:rsidRPr="006D69F9">
              <w:rPr>
                <w:u w:val="single"/>
              </w:rPr>
              <w:t>x</w:t>
            </w:r>
          </w:p>
          <w:p w14:paraId="3B9305BF" w14:textId="5F76D303" w:rsidR="004776F2" w:rsidRDefault="004776F2" w:rsidP="002E1445">
            <w:pPr>
              <w:pStyle w:val="ETSI-2str"/>
              <w:spacing w:before="120"/>
              <w:rPr>
                <w:rStyle w:val="Hypertextovodkaz"/>
                <w:noProof w:val="0"/>
                <w:sz w:val="20"/>
              </w:rPr>
            </w:pPr>
            <w:r w:rsidRPr="006D69F9">
              <w:t>Naleznete-li v t</w:t>
            </w:r>
            <w:r w:rsidR="00C7424D" w:rsidRPr="006D69F9">
              <w:t>omto</w:t>
            </w:r>
            <w:r w:rsidRPr="006D69F9">
              <w:t xml:space="preserve"> </w:t>
            </w:r>
            <w:r w:rsidR="00C7424D" w:rsidRPr="006D69F9">
              <w:t>dokumentu</w:t>
            </w:r>
            <w:r w:rsidRPr="006D69F9">
              <w:t xml:space="preserve"> chyby, zašlete </w:t>
            </w:r>
            <w:r w:rsidR="00C7424D" w:rsidRPr="006D69F9">
              <w:t xml:space="preserve">prosím </w:t>
            </w:r>
            <w:r w:rsidRPr="006D69F9">
              <w:t>své připomínky na</w:t>
            </w:r>
            <w:r w:rsidR="00C7424D" w:rsidRPr="006D69F9">
              <w:t xml:space="preserve"> jednu z následujících služeb</w:t>
            </w:r>
            <w:r w:rsidRPr="006D69F9">
              <w:t>:</w:t>
            </w:r>
            <w:r w:rsidRPr="006D69F9">
              <w:br/>
            </w:r>
            <w:hyperlink r:id="rId16" w:history="1">
              <w:r w:rsidR="009211B9" w:rsidRPr="00502CDA">
                <w:rPr>
                  <w:rStyle w:val="Hypertextovodkaz"/>
                </w:rPr>
                <w:t>https://portal.etsi.org/People/CommiteeSupportStaff.aspx</w:t>
              </w:r>
            </w:hyperlink>
          </w:p>
          <w:p w14:paraId="33AE7C8A" w14:textId="444E2406" w:rsidR="00B4522D" w:rsidRDefault="007F556B" w:rsidP="002E1445">
            <w:pPr>
              <w:pStyle w:val="ETSI-2str"/>
              <w:spacing w:before="120"/>
              <w:rPr>
                <w:u w:val="single"/>
              </w:rPr>
            </w:pPr>
            <w:r w:rsidRPr="007F556B">
              <w:t>Naleznete-li</w:t>
            </w:r>
            <w:r w:rsidR="00B4522D" w:rsidRPr="007F556B">
              <w:t xml:space="preserve"> v tomto dokumentu slabá místa v oblasti bezpečnosti, oznamte je prosím prostřednictvím našeho koordinovaného programu pro odhalování slabých míst:</w:t>
            </w:r>
            <w:r w:rsidR="00B4522D">
              <w:rPr>
                <w:u w:val="single"/>
              </w:rPr>
              <w:br/>
            </w:r>
            <w:hyperlink r:id="rId17" w:history="1">
              <w:r w:rsidR="00B4522D" w:rsidRPr="00B4522D">
                <w:rPr>
                  <w:rStyle w:val="Hypertextovodkaz"/>
                </w:rPr>
                <w:t>https://www.etsi.org/standards/coordinated-vulnerability-disclosure</w:t>
              </w:r>
            </w:hyperlink>
          </w:p>
          <w:p w14:paraId="055CA340" w14:textId="77777777" w:rsidR="009211B9" w:rsidRDefault="009211B9" w:rsidP="00D32233">
            <w:pPr>
              <w:pStyle w:val="ETSI-2str"/>
              <w:rPr>
                <w:u w:val="single"/>
              </w:rPr>
            </w:pPr>
          </w:p>
          <w:p w14:paraId="67539070" w14:textId="53D0BFFC" w:rsidR="009211B9" w:rsidRPr="006D69F9" w:rsidRDefault="00666666" w:rsidP="00346631">
            <w:pPr>
              <w:pStyle w:val="ETSI-2str-Linka"/>
              <w:tabs>
                <w:tab w:val="left" w:pos="5954"/>
              </w:tabs>
              <w:ind w:right="1850"/>
            </w:pPr>
            <w:r>
              <w:rPr>
                <w:b/>
                <w:i/>
              </w:rPr>
              <w:t xml:space="preserve">Oznámení o </w:t>
            </w:r>
            <w:r w:rsidR="000653E7">
              <w:rPr>
                <w:b/>
                <w:i/>
              </w:rPr>
              <w:t>odmítnutí</w:t>
            </w:r>
            <w:r>
              <w:rPr>
                <w:b/>
                <w:i/>
              </w:rPr>
              <w:t xml:space="preserve"> </w:t>
            </w:r>
            <w:r>
              <w:rPr>
                <w:b/>
                <w:i/>
                <w:lang w:val="en-GB"/>
              </w:rPr>
              <w:t>&amp;</w:t>
            </w:r>
            <w:r>
              <w:rPr>
                <w:b/>
                <w:i/>
              </w:rPr>
              <w:t xml:space="preserve"> </w:t>
            </w:r>
            <w:r w:rsidR="006E2952">
              <w:rPr>
                <w:b/>
                <w:i/>
              </w:rPr>
              <w:t>vy</w:t>
            </w:r>
            <w:r>
              <w:rPr>
                <w:b/>
                <w:i/>
              </w:rPr>
              <w:t>mezení odpovědnosti</w:t>
            </w:r>
          </w:p>
          <w:p w14:paraId="05C7A5CC" w14:textId="7BCF3512" w:rsidR="009211B9" w:rsidRDefault="007D7DC9" w:rsidP="008F0BC9">
            <w:pPr>
              <w:pStyle w:val="ETSI-2str"/>
              <w:spacing w:before="120"/>
            </w:pPr>
            <w:r w:rsidRPr="007D7DC9">
              <w:t xml:space="preserve">Informace uvedené v tomto dokumentu jsou určeny výhradně odborníkům, kteří mají </w:t>
            </w:r>
            <w:r w:rsidR="000653E7">
              <w:t>náležitou</w:t>
            </w:r>
            <w:r w:rsidRPr="007D7DC9">
              <w:t xml:space="preserve"> míru zkušeností, aby porozuměli jejich obsahu a interpretovali jej v souladu s obecně uznávanými technickými nebo jinými odbornými </w:t>
            </w:r>
            <w:r w:rsidR="00D93906">
              <w:t>standardy</w:t>
            </w:r>
            <w:r w:rsidRPr="007D7DC9">
              <w:t xml:space="preserve"> a</w:t>
            </w:r>
            <w:r>
              <w:t> </w:t>
            </w:r>
            <w:r w:rsidRPr="007D7DC9">
              <w:t>platnými předpisy.</w:t>
            </w:r>
            <w:r>
              <w:br/>
              <w:t xml:space="preserve">Neposkytuje se žádné doporučení týkající se výrobků a služeb nebo </w:t>
            </w:r>
            <w:r w:rsidR="008F0BC9">
              <w:t>prodejců</w:t>
            </w:r>
            <w:r>
              <w:t xml:space="preserve">, </w:t>
            </w:r>
            <w:r w:rsidR="008F0BC9">
              <w:t xml:space="preserve">a </w:t>
            </w:r>
            <w:r>
              <w:t xml:space="preserve">nemělo </w:t>
            </w:r>
            <w:r w:rsidR="008F0BC9">
              <w:t xml:space="preserve">by </w:t>
            </w:r>
            <w:r w:rsidR="00D93906">
              <w:t>se tomu tak ani rozumět</w:t>
            </w:r>
            <w:r>
              <w:t>.</w:t>
            </w:r>
            <w:r w:rsidR="008F0BC9">
              <w:br/>
            </w:r>
            <w:r>
              <w:t xml:space="preserve">ETSI v žádném případě neodpovídá za ušlý zisk ani za jiné </w:t>
            </w:r>
            <w:r w:rsidR="001777F1">
              <w:t>související</w:t>
            </w:r>
            <w:r>
              <w:t xml:space="preserve"> nebo následné škody.</w:t>
            </w:r>
          </w:p>
          <w:p w14:paraId="6D60848B" w14:textId="77777777" w:rsidR="001777F1" w:rsidRDefault="001777F1" w:rsidP="00346631">
            <w:pPr>
              <w:pStyle w:val="ETSI-2str"/>
            </w:pPr>
          </w:p>
          <w:p w14:paraId="4FCA98C0" w14:textId="7EA8194D" w:rsidR="001777F1" w:rsidRPr="006D69F9" w:rsidRDefault="003160B7" w:rsidP="001777F1">
            <w:pPr>
              <w:pStyle w:val="ETSI-2str"/>
            </w:pPr>
            <w:r>
              <w:t>Jakýkoli</w:t>
            </w:r>
            <w:r w:rsidR="001777F1">
              <w:t xml:space="preserve"> software obsažený v t</w:t>
            </w:r>
            <w:r>
              <w:t>omto</w:t>
            </w:r>
            <w:r w:rsidR="001777F1">
              <w:t xml:space="preserve"> do</w:t>
            </w:r>
            <w:r>
              <w:t>kumentu</w:t>
            </w:r>
            <w:r w:rsidR="001777F1">
              <w:t xml:space="preserve"> je poskytován </w:t>
            </w:r>
            <w:r>
              <w:t>„</w:t>
            </w:r>
            <w:r w:rsidR="001777F1">
              <w:t>TAK, JAK JE</w:t>
            </w:r>
            <w:r>
              <w:t>“</w:t>
            </w:r>
            <w:r w:rsidR="001777F1">
              <w:t xml:space="preserve">, bez jakýchkoli záruk, výslovných nebo předpokládaných, mimo jiné včetně záruk prodejnosti, vhodnosti pro určitý účel a neporušování práv </w:t>
            </w:r>
            <w:r w:rsidR="00D93906">
              <w:t xml:space="preserve">týkajících se </w:t>
            </w:r>
            <w:r w:rsidR="001777F1">
              <w:t>duševního vlastnictví, a</w:t>
            </w:r>
            <w:r w:rsidR="003609B4">
              <w:t> </w:t>
            </w:r>
            <w:r w:rsidR="001777F1">
              <w:t xml:space="preserve">ETSI v žádném případě nenese odpovědnost za jakékoli škody (mimo jiné včetně škod za ušlý zisk, přerušení </w:t>
            </w:r>
            <w:r w:rsidR="003609B4">
              <w:t>obchodní činnosti</w:t>
            </w:r>
            <w:r w:rsidR="001777F1">
              <w:t xml:space="preserve">, ztrátu informací nebo jakoukoli jinou finanční ztrátu), které vzniknou v důsledku používání </w:t>
            </w:r>
            <w:r w:rsidR="00D93906">
              <w:t xml:space="preserve">softwaru </w:t>
            </w:r>
            <w:r w:rsidR="001777F1">
              <w:t>nebo v souvislosti s</w:t>
            </w:r>
            <w:r w:rsidR="00D93906">
              <w:t xml:space="preserve"> jeho </w:t>
            </w:r>
            <w:r w:rsidR="001777F1">
              <w:t xml:space="preserve">používáním nebo </w:t>
            </w:r>
            <w:r w:rsidR="00D93906">
              <w:t xml:space="preserve">s </w:t>
            </w:r>
            <w:r w:rsidR="001777F1">
              <w:t xml:space="preserve">nemožností </w:t>
            </w:r>
            <w:r w:rsidR="00D93906">
              <w:t xml:space="preserve">software </w:t>
            </w:r>
            <w:r w:rsidR="001777F1">
              <w:t>používat.</w:t>
            </w:r>
          </w:p>
        </w:tc>
      </w:tr>
      <w:tr w:rsidR="004776F2" w:rsidRPr="0020763D" w14:paraId="72F6D35E" w14:textId="77777777" w:rsidTr="002E1445">
        <w:trPr>
          <w:trHeight w:val="2127"/>
          <w:jc w:val="center"/>
        </w:trPr>
        <w:tc>
          <w:tcPr>
            <w:tcW w:w="9923" w:type="dxa"/>
          </w:tcPr>
          <w:p w14:paraId="48256204" w14:textId="77777777" w:rsidR="004776F2" w:rsidRPr="006D69F9" w:rsidRDefault="004776F2" w:rsidP="00514E6B">
            <w:pPr>
              <w:pStyle w:val="ETSI-2str"/>
              <w:pBdr>
                <w:bottom w:val="single" w:sz="6" w:space="1" w:color="auto"/>
              </w:pBdr>
              <w:rPr>
                <w:b/>
                <w:i/>
                <w:sz w:val="20"/>
              </w:rPr>
            </w:pPr>
            <w:r w:rsidRPr="006D69F9">
              <w:rPr>
                <w:b/>
                <w:i/>
                <w:sz w:val="20"/>
              </w:rPr>
              <w:t>Oznámení copyrightu</w:t>
            </w:r>
          </w:p>
          <w:p w14:paraId="5D2E1DB3" w14:textId="77777777" w:rsidR="004776F2" w:rsidRPr="006D69F9" w:rsidRDefault="004776F2" w:rsidP="00514E6B">
            <w:pPr>
              <w:pStyle w:val="ETSI-2str"/>
            </w:pPr>
          </w:p>
          <w:p w14:paraId="10D88787" w14:textId="77777777" w:rsidR="008C404B" w:rsidRPr="006D69F9" w:rsidRDefault="008C404B" w:rsidP="008C404B">
            <w:pPr>
              <w:pStyle w:val="ETSI-2str"/>
            </w:pPr>
            <w:r w:rsidRPr="006D69F9">
              <w:t xml:space="preserve">Žádná část nesmí být reprodukována nebo používána v jakékoli formě nebo jakýmkoli způsobem (elektronickým nebo mechanickým), včetně fotokopií a mikrofilmu, bez písemného svolení ETSI. </w:t>
            </w:r>
          </w:p>
          <w:p w14:paraId="5DD4047F" w14:textId="77777777" w:rsidR="008C404B" w:rsidRPr="006D69F9" w:rsidRDefault="008C404B" w:rsidP="008C404B">
            <w:pPr>
              <w:pStyle w:val="ETSI-2str"/>
            </w:pPr>
            <w:r w:rsidRPr="006D69F9">
              <w:t>Obsah verze PDF nesmí být upravován bez písemného svolení ETSI.</w:t>
            </w:r>
          </w:p>
          <w:p w14:paraId="4D364B98" w14:textId="002ED627" w:rsidR="004776F2" w:rsidRPr="006D69F9" w:rsidRDefault="008C404B" w:rsidP="008C404B">
            <w:pPr>
              <w:pStyle w:val="ETSI-2str"/>
            </w:pPr>
            <w:r w:rsidRPr="006D69F9">
              <w:t>Copyright i výše uveden</w:t>
            </w:r>
            <w:r w:rsidR="00866372" w:rsidRPr="006D69F9">
              <w:t>á</w:t>
            </w:r>
            <w:r w:rsidR="006D69F9" w:rsidRPr="006D69F9">
              <w:t xml:space="preserve"> omezení se rozšiřují</w:t>
            </w:r>
            <w:r w:rsidRPr="006D69F9">
              <w:t xml:space="preserve"> i na reprodukování na všech médiích.</w:t>
            </w:r>
          </w:p>
          <w:p w14:paraId="36FEF1D1" w14:textId="77777777" w:rsidR="004776F2" w:rsidRPr="006D69F9" w:rsidRDefault="004776F2" w:rsidP="00514E6B">
            <w:pPr>
              <w:pStyle w:val="ETSI-2str"/>
            </w:pPr>
          </w:p>
          <w:p w14:paraId="6D8FB278" w14:textId="3274EDDD" w:rsidR="004776F2" w:rsidRPr="00346631" w:rsidRDefault="004776F2" w:rsidP="00514E6B">
            <w:pPr>
              <w:pStyle w:val="ETSI-2str"/>
              <w:rPr>
                <w:szCs w:val="18"/>
              </w:rPr>
            </w:pPr>
            <w:r w:rsidRPr="00346631">
              <w:rPr>
                <w:szCs w:val="18"/>
              </w:rPr>
              <w:t>© E</w:t>
            </w:r>
            <w:r w:rsidR="00C8771C" w:rsidRPr="00346631">
              <w:rPr>
                <w:szCs w:val="18"/>
              </w:rPr>
              <w:t>TSI</w:t>
            </w:r>
            <w:r w:rsidRPr="00346631">
              <w:rPr>
                <w:szCs w:val="18"/>
              </w:rPr>
              <w:t xml:space="preserve"> 20XX.</w:t>
            </w:r>
          </w:p>
          <w:p w14:paraId="6D04F9FA" w14:textId="2B754D07" w:rsidR="002F172D" w:rsidRPr="006D69F9" w:rsidRDefault="004776F2" w:rsidP="00A85A19">
            <w:pPr>
              <w:pStyle w:val="ETSI-2str"/>
            </w:pPr>
            <w:r w:rsidRPr="00346631">
              <w:rPr>
                <w:szCs w:val="18"/>
              </w:rPr>
              <w:t>Všechna práva vyhrazena.</w:t>
            </w:r>
          </w:p>
        </w:tc>
      </w:tr>
    </w:tbl>
    <w:p w14:paraId="0217BE8E" w14:textId="77777777" w:rsidR="004776F2" w:rsidRPr="0020763D" w:rsidRDefault="004776F2" w:rsidP="004776F2">
      <w:pPr>
        <w:pStyle w:val="Nadpiskapitoly"/>
        <w:pageBreakBefore/>
        <w:spacing w:before="0"/>
      </w:pPr>
      <w:bookmarkStart w:id="1" w:name="_Toc116450937"/>
      <w:bookmarkStart w:id="2" w:name="_Toc359251362"/>
      <w:bookmarkStart w:id="3" w:name="_Toc359251520"/>
      <w:bookmarkStart w:id="4" w:name="_Toc359251680"/>
      <w:bookmarkStart w:id="5" w:name="_Toc359251937"/>
      <w:bookmarkStart w:id="6" w:name="_Toc359252126"/>
      <w:bookmarkStart w:id="7" w:name="_Toc359252241"/>
      <w:bookmarkStart w:id="8" w:name="_Toc359252484"/>
      <w:bookmarkStart w:id="9" w:name="_Toc359252724"/>
      <w:bookmarkStart w:id="10" w:name="_Toc359252845"/>
      <w:bookmarkStart w:id="11" w:name="_Toc359252919"/>
      <w:bookmarkStart w:id="12" w:name="_Toc359283645"/>
      <w:bookmarkStart w:id="13" w:name="_Toc365965545"/>
      <w:bookmarkStart w:id="14" w:name="_Toc365967312"/>
      <w:bookmarkStart w:id="15" w:name="_Toc365968759"/>
      <w:bookmarkStart w:id="16" w:name="_Toc367082924"/>
      <w:bookmarkStart w:id="17" w:name="_Toc372429539"/>
      <w:bookmarkStart w:id="18" w:name="_Toc375302773"/>
      <w:bookmarkStart w:id="19" w:name="_Toc379098930"/>
      <w:bookmarkStart w:id="20" w:name="_Toc380735103"/>
      <w:bookmarkStart w:id="21" w:name="_Toc380735203"/>
      <w:bookmarkStart w:id="22" w:name="_Toc380825387"/>
      <w:bookmarkStart w:id="23" w:name="_Toc380827276"/>
      <w:bookmarkStart w:id="24" w:name="_Toc380886222"/>
      <w:bookmarkStart w:id="25" w:name="_Toc380886260"/>
      <w:bookmarkStart w:id="26" w:name="_Toc380886467"/>
      <w:bookmarkStart w:id="27" w:name="_Toc380974465"/>
      <w:r w:rsidRPr="0020763D">
        <w:lastRenderedPageBreak/>
        <w:t>Obsah</w:t>
      </w:r>
    </w:p>
    <w:p w14:paraId="63F5F55F" w14:textId="77777777" w:rsidR="004776F2" w:rsidRPr="0020763D" w:rsidRDefault="004776F2" w:rsidP="004776F2">
      <w:pPr>
        <w:pStyle w:val="Textnormy"/>
        <w:jc w:val="right"/>
        <w:rPr>
          <w:sz w:val="18"/>
          <w:szCs w:val="18"/>
        </w:rPr>
      </w:pPr>
      <w:r w:rsidRPr="0020763D">
        <w:rPr>
          <w:sz w:val="18"/>
          <w:szCs w:val="18"/>
        </w:rPr>
        <w:t>Strana</w:t>
      </w:r>
    </w:p>
    <w:p w14:paraId="6DD328A9" w14:textId="77777777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b/>
          <w:szCs w:val="18"/>
        </w:rPr>
        <w:fldChar w:fldCharType="begin"/>
      </w:r>
      <w:r w:rsidRPr="0020763D">
        <w:rPr>
          <w:rFonts w:cs="Arial"/>
          <w:b/>
          <w:szCs w:val="18"/>
        </w:rPr>
        <w:instrText xml:space="preserve"> TOC \o "1-5" </w:instrText>
      </w:r>
      <w:r w:rsidRPr="0020763D">
        <w:rPr>
          <w:rFonts w:cs="Arial"/>
          <w:b/>
          <w:szCs w:val="18"/>
        </w:rPr>
        <w:fldChar w:fldCharType="separate"/>
      </w:r>
      <w:r w:rsidRPr="0020763D">
        <w:rPr>
          <w:rFonts w:cs="Arial"/>
          <w:kern w:val="28"/>
          <w:szCs w:val="18"/>
        </w:rPr>
        <w:t>Autorská práva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_Toc227721626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6</w:t>
      </w:r>
      <w:r w:rsidRPr="0020763D">
        <w:rPr>
          <w:rFonts w:cs="Arial"/>
          <w:szCs w:val="18"/>
        </w:rPr>
        <w:fldChar w:fldCharType="end"/>
      </w:r>
    </w:p>
    <w:p w14:paraId="58CBC27F" w14:textId="77777777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szCs w:val="18"/>
        </w:rPr>
        <w:t>Předmluva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_Toc227721627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6</w:t>
      </w:r>
      <w:r w:rsidRPr="0020763D">
        <w:rPr>
          <w:rFonts w:cs="Arial"/>
          <w:szCs w:val="18"/>
        </w:rPr>
        <w:fldChar w:fldCharType="end"/>
      </w:r>
    </w:p>
    <w:p w14:paraId="1BF15995" w14:textId="6C4E5D29" w:rsidR="004776F2" w:rsidRDefault="00D32233" w:rsidP="004776F2">
      <w:pPr>
        <w:pStyle w:val="Obsah1"/>
        <w:rPr>
          <w:rFonts w:cs="Arial"/>
          <w:szCs w:val="18"/>
        </w:rPr>
      </w:pPr>
      <w:r>
        <w:rPr>
          <w:rFonts w:cs="Arial"/>
          <w:szCs w:val="18"/>
        </w:rPr>
        <w:t xml:space="preserve">Užívání modálních </w:t>
      </w:r>
      <w:r w:rsidR="00456D07">
        <w:rPr>
          <w:rFonts w:cs="Arial"/>
          <w:szCs w:val="18"/>
        </w:rPr>
        <w:t>sloves</w:t>
      </w:r>
      <w:r w:rsidR="004776F2" w:rsidRPr="0020763D">
        <w:rPr>
          <w:rFonts w:cs="Arial"/>
          <w:szCs w:val="18"/>
        </w:rPr>
        <w:tab/>
      </w:r>
      <w:r w:rsidR="00867FC2">
        <w:rPr>
          <w:rFonts w:cs="Arial"/>
          <w:szCs w:val="18"/>
        </w:rPr>
        <w:t>7</w:t>
      </w:r>
    </w:p>
    <w:p w14:paraId="6513410E" w14:textId="52016C3C" w:rsidR="00D32233" w:rsidRPr="00D32233" w:rsidRDefault="00D32233" w:rsidP="00867FC2">
      <w:pPr>
        <w:pStyle w:val="Obsah1"/>
      </w:pPr>
      <w:r>
        <w:t>Úv</w:t>
      </w:r>
      <w:r w:rsidR="00867FC2">
        <w:t>od</w:t>
      </w:r>
      <w:r w:rsidR="00867FC2">
        <w:tab/>
      </w:r>
      <w:r w:rsidR="00867FC2">
        <w:tab/>
        <w:t>8</w:t>
      </w:r>
    </w:p>
    <w:p w14:paraId="15065BA2" w14:textId="77777777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b/>
          <w:szCs w:val="18"/>
        </w:rPr>
        <w:t>1</w:t>
      </w:r>
      <w:r w:rsidRPr="0020763D">
        <w:rPr>
          <w:rFonts w:cs="Arial"/>
          <w:szCs w:val="18"/>
        </w:rPr>
        <w:tab/>
        <w:t>Rozsah platnosti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_Toc227721629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10</w:t>
      </w:r>
      <w:r w:rsidRPr="0020763D">
        <w:rPr>
          <w:rFonts w:cs="Arial"/>
          <w:szCs w:val="18"/>
        </w:rPr>
        <w:fldChar w:fldCharType="end"/>
      </w:r>
    </w:p>
    <w:p w14:paraId="2FF619AA" w14:textId="77777777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b/>
          <w:szCs w:val="18"/>
        </w:rPr>
        <w:t>2</w:t>
      </w:r>
      <w:r w:rsidRPr="0020763D">
        <w:rPr>
          <w:rFonts w:cs="Arial"/>
          <w:szCs w:val="18"/>
        </w:rPr>
        <w:tab/>
        <w:t>Citované dokumenty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_Toc227721630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10</w:t>
      </w:r>
      <w:r w:rsidRPr="0020763D">
        <w:rPr>
          <w:rFonts w:cs="Arial"/>
          <w:szCs w:val="18"/>
        </w:rPr>
        <w:fldChar w:fldCharType="end"/>
      </w:r>
    </w:p>
    <w:p w14:paraId="0F4350FF" w14:textId="77777777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b/>
          <w:szCs w:val="18"/>
        </w:rPr>
        <w:t>3</w:t>
      </w:r>
      <w:r w:rsidRPr="0020763D">
        <w:rPr>
          <w:rFonts w:cs="Arial"/>
          <w:szCs w:val="18"/>
        </w:rPr>
        <w:tab/>
        <w:t>Definice, značky a zkratky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_Toc227721631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10</w:t>
      </w:r>
      <w:r w:rsidRPr="0020763D">
        <w:rPr>
          <w:rFonts w:cs="Arial"/>
          <w:szCs w:val="18"/>
        </w:rPr>
        <w:fldChar w:fldCharType="end"/>
      </w:r>
    </w:p>
    <w:p w14:paraId="24870FFE" w14:textId="05221DB1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b/>
          <w:szCs w:val="18"/>
        </w:rPr>
        <w:t>Příloha A</w:t>
      </w:r>
      <w:r w:rsidRPr="0020763D">
        <w:rPr>
          <w:rFonts w:cs="Arial"/>
          <w:szCs w:val="18"/>
        </w:rPr>
        <w:t> (informativní)</w:t>
      </w:r>
      <w:r w:rsidR="009D33A8">
        <w:rPr>
          <w:rFonts w:cs="Arial"/>
          <w:szCs w:val="18"/>
        </w:rPr>
        <w:t xml:space="preserve"> </w:t>
      </w:r>
      <w:r w:rsidR="009D33A8" w:rsidRPr="0020763D">
        <w:t>Název EN v úředních jazycích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_Toc227721632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11</w:t>
      </w:r>
      <w:r w:rsidRPr="0020763D">
        <w:rPr>
          <w:rFonts w:cs="Arial"/>
          <w:szCs w:val="18"/>
        </w:rPr>
        <w:fldChar w:fldCharType="end"/>
      </w:r>
    </w:p>
    <w:p w14:paraId="6C7D5671" w14:textId="77777777" w:rsidR="004776F2" w:rsidRPr="0020763D" w:rsidRDefault="004776F2" w:rsidP="004776F2">
      <w:pPr>
        <w:pStyle w:val="Obsah1"/>
        <w:rPr>
          <w:rFonts w:cs="Arial"/>
          <w:szCs w:val="18"/>
        </w:rPr>
      </w:pPr>
      <w:r w:rsidRPr="0020763D">
        <w:rPr>
          <w:rFonts w:cs="Arial"/>
          <w:szCs w:val="18"/>
        </w:rPr>
        <w:t>Historie</w:t>
      </w:r>
      <w:r w:rsidRPr="0020763D">
        <w:rPr>
          <w:rFonts w:cs="Arial"/>
          <w:szCs w:val="18"/>
        </w:rPr>
        <w:tab/>
      </w:r>
      <w:r w:rsidRPr="0020763D">
        <w:rPr>
          <w:rFonts w:cs="Arial"/>
          <w:szCs w:val="18"/>
        </w:rPr>
        <w:fldChar w:fldCharType="begin"/>
      </w:r>
      <w:r w:rsidRPr="0020763D">
        <w:rPr>
          <w:rFonts w:cs="Arial"/>
          <w:szCs w:val="18"/>
        </w:rPr>
        <w:instrText xml:space="preserve"> PAGEREF _Toc227721633 \h </w:instrText>
      </w:r>
      <w:r w:rsidRPr="0020763D">
        <w:rPr>
          <w:rFonts w:cs="Arial"/>
          <w:szCs w:val="18"/>
        </w:rPr>
      </w:r>
      <w:r w:rsidRPr="0020763D">
        <w:rPr>
          <w:rFonts w:cs="Arial"/>
          <w:szCs w:val="18"/>
        </w:rPr>
        <w:fldChar w:fldCharType="separate"/>
      </w:r>
      <w:r>
        <w:rPr>
          <w:rFonts w:cs="Arial"/>
          <w:szCs w:val="18"/>
        </w:rPr>
        <w:t>12</w:t>
      </w:r>
      <w:r w:rsidRPr="0020763D">
        <w:rPr>
          <w:rFonts w:cs="Arial"/>
          <w:szCs w:val="18"/>
        </w:rPr>
        <w:fldChar w:fldCharType="end"/>
      </w:r>
    </w:p>
    <w:p w14:paraId="1F6A1EB8" w14:textId="77777777" w:rsidR="004776F2" w:rsidRDefault="004776F2" w:rsidP="004776F2">
      <w:pPr>
        <w:pStyle w:val="Nadpis1"/>
        <w:pageBreakBefore/>
        <w:spacing w:before="0"/>
        <w:rPr>
          <w:kern w:val="28"/>
        </w:rPr>
      </w:pPr>
      <w:r w:rsidRPr="0020763D">
        <w:rPr>
          <w:rFonts w:cs="Arial"/>
          <w:noProof/>
          <w:sz w:val="18"/>
          <w:szCs w:val="18"/>
        </w:rPr>
        <w:lastRenderedPageBreak/>
        <w:fldChar w:fldCharType="end"/>
      </w:r>
      <w:bookmarkStart w:id="28" w:name="_Toc227721626"/>
      <w:r w:rsidRPr="0020763D">
        <w:rPr>
          <w:kern w:val="28"/>
        </w:rPr>
        <w:t>Autorská práva</w:t>
      </w:r>
      <w:bookmarkEnd w:id="1"/>
      <w:bookmarkEnd w:id="28"/>
    </w:p>
    <w:p w14:paraId="45294173" w14:textId="77777777" w:rsidR="00473C89" w:rsidRPr="006D69F9" w:rsidRDefault="00473C89" w:rsidP="006D69F9">
      <w:pPr>
        <w:pStyle w:val="Textnormy"/>
      </w:pPr>
      <w:r>
        <w:t>Podstatné patenty</w:t>
      </w:r>
    </w:p>
    <w:p w14:paraId="5AC0B2FD" w14:textId="77777777" w:rsidR="004776F2" w:rsidRPr="004776F2" w:rsidRDefault="004776F2" w:rsidP="004776F2">
      <w:pPr>
        <w:pStyle w:val="Textnormy"/>
      </w:pPr>
      <w:r w:rsidRPr="004776F2">
        <w:t xml:space="preserve">Vůči ETSI mohou být nárokována podstatná nebo potenciálně podstatná autorská práva (IPR) k tomuto dokumentu. Informace týkající se těchto podstatných autorských práv, pokud existují, jsou veřejně dostupné </w:t>
      </w:r>
      <w:r w:rsidRPr="004776F2">
        <w:rPr>
          <w:b/>
        </w:rPr>
        <w:t xml:space="preserve">členům i nečlenům ETSI </w:t>
      </w:r>
      <w:r w:rsidRPr="004776F2">
        <w:t xml:space="preserve">a lze je nalézt v ETSI SR 000 314: </w:t>
      </w:r>
      <w:r w:rsidRPr="004776F2">
        <w:rPr>
          <w:i/>
        </w:rPr>
        <w:t>„Autorská práva (IPR); podstatná nebo potenciálně podstatná autorská práva notifikovaná ETSI vzhledem k normám ETSI“</w:t>
      </w:r>
      <w:r w:rsidRPr="004776F2">
        <w:t>,</w:t>
      </w:r>
      <w:r w:rsidRPr="004776F2">
        <w:rPr>
          <w:i/>
        </w:rPr>
        <w:t xml:space="preserve"> </w:t>
      </w:r>
      <w:r w:rsidRPr="004776F2">
        <w:t xml:space="preserve">která je dostupná v sekretariátu ETSI. </w:t>
      </w:r>
      <w:r>
        <w:br/>
      </w:r>
      <w:r w:rsidRPr="004776F2">
        <w:t xml:space="preserve">Poslední aktualizace jsou dostupné na webových stránkách ETSI </w:t>
      </w:r>
      <w:r w:rsidRPr="009D33A8">
        <w:t>(</w:t>
      </w:r>
      <w:r w:rsidRPr="004776F2">
        <w:rPr>
          <w:color w:val="000000"/>
          <w:u w:val="single"/>
        </w:rPr>
        <w:t>http</w:t>
      </w:r>
      <w:r w:rsidR="00A85A19">
        <w:rPr>
          <w:color w:val="000000"/>
          <w:u w:val="single"/>
        </w:rPr>
        <w:t>s</w:t>
      </w:r>
      <w:r w:rsidRPr="004776F2">
        <w:rPr>
          <w:color w:val="000000"/>
          <w:u w:val="single"/>
        </w:rPr>
        <w:t>://ipr.etsi.org</w:t>
      </w:r>
      <w:r w:rsidRPr="009D33A8">
        <w:t>)</w:t>
      </w:r>
      <w:r w:rsidRPr="004776F2">
        <w:t>.</w:t>
      </w:r>
    </w:p>
    <w:p w14:paraId="2D9F886D" w14:textId="08982E03" w:rsidR="004776F2" w:rsidRDefault="004776F2" w:rsidP="004776F2">
      <w:pPr>
        <w:pStyle w:val="Textnormy"/>
      </w:pPr>
      <w:r w:rsidRPr="004776F2">
        <w:t>Ve shodě s</w:t>
      </w:r>
      <w:r w:rsidR="009B2AE6">
        <w:t>e směrnicemi ETSI včetně</w:t>
      </w:r>
      <w:r w:rsidRPr="004776F2">
        <w:t> politik</w:t>
      </w:r>
      <w:r w:rsidR="009B2AE6">
        <w:t>y</w:t>
      </w:r>
      <w:r w:rsidRPr="004776F2">
        <w:t xml:space="preserve"> ETSI týkající se autorských práv nebylo prováděno ze strany ETSI žádné šetření ani průzkum autorských práv. Nemůže být poskytnuta žádná záruka, pokud jde o existenci jiných autorských práv nezmíněných v ETSI SR 000 314 (nebo v aktualizacích na síťovém serveru ETSI), která jsou nebo mohou být nebo se mohou stát podstatnými pro tento dokument.</w:t>
      </w:r>
    </w:p>
    <w:p w14:paraId="5C418261" w14:textId="77777777" w:rsidR="00473C89" w:rsidRDefault="00473C89" w:rsidP="004776F2">
      <w:pPr>
        <w:pStyle w:val="Textnormy"/>
      </w:pPr>
      <w:r>
        <w:t>Ochranné známky</w:t>
      </w:r>
    </w:p>
    <w:p w14:paraId="5833B9B3" w14:textId="687DEC18" w:rsidR="00473C89" w:rsidRDefault="00867FC2" w:rsidP="00867FC2">
      <w:pPr>
        <w:pStyle w:val="Textnormy"/>
      </w:pPr>
      <w:r w:rsidRPr="00867FC2">
        <w:t xml:space="preserve">Tento dokument může obsahovat ochranné známky a/nebo obchodní názvy, které jsou uplatňovány a/nebo </w:t>
      </w:r>
      <w:r w:rsidR="005065E1">
        <w:br/>
      </w:r>
      <w:r w:rsidRPr="00867FC2">
        <w:t>registrovány jejich vlastníky. ETSI si nenárokuje žádné jejich vlastnictví, s výjimkou těch, které jsou označeny jako majetek ETSI, a neposkytuje žádné právo používat nebo reprodukovat jakoukoli ochrannou známku a/nebo obchodní název. Zmínka o těchto ochranných známkách v tomto dokumentu nepředstavuje ze strany ETSI schválení produktů, služeb nebo organizací spojených s těmito ochrannými známkami.</w:t>
      </w:r>
    </w:p>
    <w:p w14:paraId="41D751C6" w14:textId="65EBC5DB" w:rsidR="00E20EEC" w:rsidRPr="004776F2" w:rsidRDefault="00E20EEC" w:rsidP="00E20EEC">
      <w:pPr>
        <w:pStyle w:val="Textnormy"/>
      </w:pPr>
      <w:r w:rsidRPr="006D69F9">
        <w:rPr>
          <w:b/>
        </w:rPr>
        <w:t>DECT</w:t>
      </w:r>
      <w:r w:rsidRPr="006D69F9">
        <w:t>™,</w:t>
      </w:r>
      <w:r w:rsidRPr="006D69F9">
        <w:rPr>
          <w:b/>
        </w:rPr>
        <w:t xml:space="preserve"> PLUGTESTS</w:t>
      </w:r>
      <w:r w:rsidRPr="006D69F9">
        <w:t xml:space="preserve">™, </w:t>
      </w:r>
      <w:r w:rsidRPr="006D69F9">
        <w:rPr>
          <w:b/>
        </w:rPr>
        <w:t>UMTS</w:t>
      </w:r>
      <w:r w:rsidRPr="006D69F9">
        <w:t>™ a logo ETSI jsou ochranné známky ETSI registrované ve prospěch svých členů.</w:t>
      </w:r>
      <w:r>
        <w:t xml:space="preserve"> </w:t>
      </w:r>
      <w:r w:rsidRPr="006D69F9">
        <w:rPr>
          <w:b/>
        </w:rPr>
        <w:t>3GPP</w:t>
      </w:r>
      <w:r w:rsidRPr="006D69F9">
        <w:t xml:space="preserve">™ a </w:t>
      </w:r>
      <w:r w:rsidRPr="006D69F9">
        <w:rPr>
          <w:b/>
        </w:rPr>
        <w:t>LTE™</w:t>
      </w:r>
      <w:r w:rsidRPr="006D69F9">
        <w:t xml:space="preserve"> jsou ochranné známky ETSI registrované ve prospěch svých členů a organizačních partnerů 3GPP.</w:t>
      </w:r>
      <w:r>
        <w:t xml:space="preserve"> </w:t>
      </w:r>
      <w:r w:rsidRPr="006D69F9">
        <w:t>Logo</w:t>
      </w:r>
      <w:r w:rsidRPr="006D69F9">
        <w:rPr>
          <w:b/>
        </w:rPr>
        <w:t xml:space="preserve"> oneM2M </w:t>
      </w:r>
      <w:r w:rsidRPr="006D69F9">
        <w:t xml:space="preserve">je </w:t>
      </w:r>
      <w:r w:rsidR="00AD3E68">
        <w:t xml:space="preserve">ochranná známka ETSI registrovaná </w:t>
      </w:r>
      <w:r w:rsidRPr="006D69F9">
        <w:t>ve prospěch svých členů</w:t>
      </w:r>
      <w:r w:rsidR="00AD3E68">
        <w:t xml:space="preserve"> a partnerů oneM2M</w:t>
      </w:r>
      <w:r w:rsidRPr="006D69F9">
        <w:t>.</w:t>
      </w:r>
      <w:r>
        <w:t xml:space="preserve"> </w:t>
      </w:r>
      <w:r w:rsidRPr="006D69F9">
        <w:rPr>
          <w:b/>
        </w:rPr>
        <w:t>GSM</w:t>
      </w:r>
      <w:r w:rsidRPr="006D69F9">
        <w:rPr>
          <w:rFonts w:cs="Arial"/>
          <w:position w:val="2"/>
        </w:rPr>
        <w:t>®</w:t>
      </w:r>
      <w:r w:rsidRPr="006D69F9">
        <w:t xml:space="preserve"> a logo GSM jsou ochranné známky registrované a vlastněné Asociací GSM.</w:t>
      </w:r>
    </w:p>
    <w:p w14:paraId="5367E889" w14:textId="77777777" w:rsidR="004776F2" w:rsidRPr="004776F2" w:rsidRDefault="004776F2" w:rsidP="004776F2">
      <w:pPr>
        <w:pStyle w:val="Nadpis1"/>
      </w:pPr>
      <w:bookmarkStart w:id="29" w:name="_Toc116450938"/>
      <w:bookmarkStart w:id="30" w:name="_Toc227721627"/>
      <w:r w:rsidRPr="004776F2">
        <w:t>Předmluva</w:t>
      </w:r>
      <w:bookmarkEnd w:id="29"/>
      <w:bookmarkEnd w:id="30"/>
    </w:p>
    <w:p w14:paraId="5450A7CF" w14:textId="77777777" w:rsidR="004776F2" w:rsidRPr="004776F2" w:rsidRDefault="004776F2" w:rsidP="004776F2">
      <w:pPr>
        <w:pStyle w:val="Textnormy"/>
        <w:rPr>
          <w:i/>
        </w:rPr>
      </w:pPr>
      <w:r w:rsidRPr="004776F2">
        <w:t xml:space="preserve">Tuto harmonizovanou evropskou normu (EN) vypracovala technická komise ETSI </w:t>
      </w:r>
      <w:r w:rsidRPr="004776F2">
        <w:rPr>
          <w:i/>
        </w:rPr>
        <w:t>Elektromagnetická kompatibilita a rádiové spektrum (ERM).</w:t>
      </w:r>
    </w:p>
    <w:p w14:paraId="35429A73" w14:textId="77777777" w:rsidR="004776F2" w:rsidRPr="00867FC2" w:rsidRDefault="004776F2" w:rsidP="004776F2">
      <w:pPr>
        <w:pStyle w:val="Textnormy"/>
      </w:pPr>
      <w:r w:rsidRPr="00867FC2">
        <w:t>Tato norma byla vypracována ETSI v odezvě na mandát od Evropské komise vydaný podle Směrnice Rady 98/34/ES (včetně změn) stanovující postup pro poskytování informací v oblasti technických norem a předpisů.</w:t>
      </w:r>
    </w:p>
    <w:p w14:paraId="572BF6FB" w14:textId="77777777" w:rsidR="004776F2" w:rsidRPr="004776F2" w:rsidRDefault="004776F2" w:rsidP="004776F2">
      <w:pPr>
        <w:pStyle w:val="Textnormy"/>
      </w:pPr>
      <w:r w:rsidRPr="004776F2">
        <w:t>Tato norma je částí 7 vícedílné normy pokrývající základnové stanice (BS), opakovače a uživatelská zařízení (UE) buňkových sítí IMT-2000 třetí generace, členěné níže:</w:t>
      </w:r>
    </w:p>
    <w:p w14:paraId="4CAEE6C8" w14:textId="77777777" w:rsidR="004776F2" w:rsidRPr="004776F2" w:rsidRDefault="004776F2" w:rsidP="004776F2">
      <w:pPr>
        <w:pStyle w:val="Textnormy"/>
        <w:ind w:left="851" w:hanging="851"/>
      </w:pPr>
      <w:r w:rsidRPr="004776F2">
        <w:t>Část 1:</w:t>
      </w:r>
      <w:r w:rsidRPr="004776F2">
        <w:tab/>
        <w:t>„Harmonizovaná EN pokrývající základní požadavky článku 3.2 Směrnice R&amp;TTE na IMT-2000, úvod a společné požadavky“;</w:t>
      </w:r>
    </w:p>
    <w:p w14:paraId="6CD85A33" w14:textId="77777777" w:rsidR="004776F2" w:rsidRPr="004776F2" w:rsidRDefault="004776F2" w:rsidP="004776F2">
      <w:pPr>
        <w:pStyle w:val="Textnormy"/>
        <w:ind w:left="851" w:hanging="851"/>
      </w:pPr>
      <w:r w:rsidRPr="004776F2">
        <w:t>Část 2:</w:t>
      </w:r>
      <w:r w:rsidRPr="004776F2">
        <w:tab/>
        <w:t>„Harmonizovaná EN pokrývající základní požadavky článku 3.2 Směrnice R&amp;TTE na IMT-2000, CDMA s přímým rozprostřením (UTRA FDD) (UE)“;</w:t>
      </w:r>
    </w:p>
    <w:p w14:paraId="430944AC" w14:textId="77777777" w:rsidR="004776F2" w:rsidRPr="004776F2" w:rsidRDefault="004776F2" w:rsidP="004776F2">
      <w:pPr>
        <w:pStyle w:val="Textnormy"/>
        <w:ind w:left="851" w:hanging="851"/>
      </w:pPr>
      <w:r w:rsidRPr="004776F2">
        <w:t>Část 3:</w:t>
      </w:r>
      <w:r w:rsidRPr="004776F2">
        <w:tab/>
        <w:t>„Harmonizovaná EN pokrývající základní požadavky článku 3.2 Směrnice R&amp;TTE na IMT-2000, CDMA s přímým rozprostřením (UTRA FDD) (BS)“;</w:t>
      </w:r>
    </w:p>
    <w:p w14:paraId="559C54EC" w14:textId="77777777" w:rsidR="004776F2" w:rsidRPr="004776F2" w:rsidRDefault="004776F2" w:rsidP="004776F2">
      <w:pPr>
        <w:pStyle w:val="Textnormy"/>
        <w:ind w:left="851" w:hanging="851"/>
      </w:pPr>
      <w:r w:rsidRPr="004776F2">
        <w:t>Část 4:</w:t>
      </w:r>
      <w:r w:rsidRPr="004776F2">
        <w:tab/>
        <w:t>„Harmonizovaná EN pokrývající základní požadavky článku 3.2 Směrnice R&amp;TTE na IMT-2000, CDMA s více nosnými (cdma2000) (UE)“;</w:t>
      </w:r>
    </w:p>
    <w:p w14:paraId="6972C4CA" w14:textId="77777777" w:rsidR="004776F2" w:rsidRPr="004776F2" w:rsidRDefault="004776F2" w:rsidP="004776F2">
      <w:pPr>
        <w:pStyle w:val="Textnormy"/>
        <w:ind w:left="851" w:hanging="851"/>
      </w:pPr>
      <w:r w:rsidRPr="004776F2">
        <w:t>Část 5:</w:t>
      </w:r>
      <w:r w:rsidRPr="004776F2">
        <w:tab/>
        <w:t>„Harmonizovaná EN pokrývající základní požadavky článku 3.2 Směrnice R&amp;TTE na IMT-2000, CDMA s více nosnými (cdma2000) (BS a opakovače);</w:t>
      </w:r>
    </w:p>
    <w:p w14:paraId="72F4582A" w14:textId="77777777" w:rsidR="004776F2" w:rsidRPr="004776F2" w:rsidRDefault="004776F2" w:rsidP="004776F2">
      <w:pPr>
        <w:pStyle w:val="Textnormy"/>
        <w:ind w:left="851" w:hanging="851"/>
      </w:pPr>
      <w:r w:rsidRPr="004776F2">
        <w:t>Část 6:</w:t>
      </w:r>
      <w:r w:rsidRPr="004776F2">
        <w:tab/>
        <w:t>„Harmonizovaná EN pokrývající základní požadavky článku 3.2 Směrnice R&amp;TTE na IMT-2000, CDMA TDD (UTRA TDD) (UE)“;</w:t>
      </w:r>
    </w:p>
    <w:p w14:paraId="22E73AD8" w14:textId="77777777" w:rsidR="004776F2" w:rsidRPr="004776F2" w:rsidRDefault="004776F2" w:rsidP="004776F2">
      <w:pPr>
        <w:pStyle w:val="Textnormy"/>
        <w:ind w:left="851" w:hanging="851"/>
        <w:rPr>
          <w:b/>
        </w:rPr>
      </w:pPr>
      <w:r w:rsidRPr="004776F2">
        <w:rPr>
          <w:b/>
        </w:rPr>
        <w:t>Část 7:</w:t>
      </w:r>
      <w:r w:rsidRPr="004776F2">
        <w:rPr>
          <w:b/>
        </w:rPr>
        <w:tab/>
        <w:t>„Harmonizovaná EN pokrývající základní požadavky článku 3.2 Směrnice R&amp;TTE na IMT-2000, CDMA TDD (UTRA TDD) (BS)“;</w:t>
      </w:r>
    </w:p>
    <w:p w14:paraId="1BC9466A" w14:textId="77777777" w:rsidR="004776F2" w:rsidRPr="004776F2" w:rsidRDefault="004776F2" w:rsidP="004776F2">
      <w:pPr>
        <w:pStyle w:val="Textnormy"/>
        <w:ind w:left="851" w:hanging="851"/>
      </w:pPr>
      <w:r w:rsidRPr="004776F2">
        <w:t>Část 8:</w:t>
      </w:r>
      <w:r w:rsidRPr="004776F2">
        <w:tab/>
        <w:t>„Harmonizovaná EN pokrývající základní požadavky článku 3.2 Směrnice R&amp;TTE na IMT-2000, TDMA s jednou nosnou (UWC 136) (UE)“;</w:t>
      </w:r>
    </w:p>
    <w:p w14:paraId="139F1119" w14:textId="77777777" w:rsidR="004776F2" w:rsidRPr="004776F2" w:rsidRDefault="004776F2" w:rsidP="004776F2">
      <w:pPr>
        <w:pStyle w:val="Textnormy"/>
        <w:ind w:left="851" w:hanging="851"/>
      </w:pPr>
      <w:r w:rsidRPr="004776F2">
        <w:t>Část 9:</w:t>
      </w:r>
      <w:r w:rsidRPr="004776F2">
        <w:tab/>
        <w:t>„Harmonizovaná EN pokrývající základní požadavky článku 3.2 Směrnice R&amp;TTE na IMT-2000, TDMA s jednou nosnou (UWC 136) (BS)“;</w:t>
      </w:r>
    </w:p>
    <w:p w14:paraId="585FB596" w14:textId="77777777" w:rsidR="004776F2" w:rsidRPr="004776F2" w:rsidRDefault="004776F2" w:rsidP="004776F2">
      <w:pPr>
        <w:pStyle w:val="Textnormy"/>
        <w:ind w:left="851" w:hanging="851"/>
      </w:pPr>
      <w:r w:rsidRPr="004776F2">
        <w:t>Část 10:</w:t>
      </w:r>
      <w:r w:rsidRPr="004776F2">
        <w:tab/>
        <w:t>„Harmonizovaná EN pokrývající základní požadavky článku 3.2 Směrnice R&amp;TTE na IMT-2000, FDMA/TDMA (DECT)“.</w:t>
      </w:r>
    </w:p>
    <w:p w14:paraId="6AC61C99" w14:textId="77777777" w:rsidR="004776F2" w:rsidRPr="004776F2" w:rsidRDefault="004776F2" w:rsidP="004776F2">
      <w:pPr>
        <w:pStyle w:val="Textnormy"/>
        <w:ind w:left="851" w:hanging="851"/>
      </w:pPr>
      <w:r w:rsidRPr="004776F2">
        <w:lastRenderedPageBreak/>
        <w:t>Část 11:</w:t>
      </w:r>
      <w:r w:rsidRPr="004776F2">
        <w:tab/>
        <w:t>„Harmonizovaná EN pokrývající základní požadavky článku 3.2 Směrnice R&amp;TTE na IMT-2000, CDMA s přímým rozprostřením (UTRA FDD) (opakovače)“.</w:t>
      </w:r>
    </w:p>
    <w:p w14:paraId="4D440301" w14:textId="77D49B42" w:rsidR="004776F2" w:rsidRDefault="004776F2" w:rsidP="004A57BF">
      <w:pPr>
        <w:pStyle w:val="Textnormy"/>
      </w:pPr>
      <w:r w:rsidRPr="00D32233">
        <w:t>Technické specifikace příslušející Směrnici 1999/5/ES [1] jsou uvedeny v příloze A této normy a v příloze A</w:t>
      </w:r>
      <w:r w:rsidRPr="00D32233">
        <w:br/>
        <w:t>k EN 301 908-1 [9].</w:t>
      </w:r>
    </w:p>
    <w:tbl>
      <w:tblPr>
        <w:tblW w:w="9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8"/>
        <w:gridCol w:w="1985"/>
      </w:tblGrid>
      <w:tr w:rsidR="00D32233" w:rsidRPr="0020763D" w14:paraId="1AE4F999" w14:textId="77777777" w:rsidTr="00605701">
        <w:trPr>
          <w:jc w:val="center"/>
        </w:trPr>
        <w:tc>
          <w:tcPr>
            <w:tcW w:w="9923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49DF69A7" w14:textId="77777777" w:rsidR="00D32233" w:rsidRPr="0020763D" w:rsidRDefault="00D32233" w:rsidP="009D33A8">
            <w:pPr>
              <w:pStyle w:val="Texttabulky"/>
              <w:jc w:val="center"/>
              <w:rPr>
                <w:b/>
                <w:kern w:val="28"/>
                <w:sz w:val="20"/>
              </w:rPr>
            </w:pPr>
            <w:r w:rsidRPr="0020763D">
              <w:rPr>
                <w:b/>
                <w:kern w:val="28"/>
                <w:sz w:val="20"/>
              </w:rPr>
              <w:t>Data zavádění na národní úrovni</w:t>
            </w:r>
          </w:p>
        </w:tc>
      </w:tr>
      <w:tr w:rsidR="00D32233" w:rsidRPr="0020763D" w14:paraId="5EB416E6" w14:textId="77777777" w:rsidTr="00605701">
        <w:trPr>
          <w:jc w:val="center"/>
        </w:trPr>
        <w:tc>
          <w:tcPr>
            <w:tcW w:w="7938" w:type="dxa"/>
          </w:tcPr>
          <w:p w14:paraId="5D481276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kern w:val="28"/>
                <w:sz w:val="20"/>
              </w:rPr>
              <w:t>Datum převzetí této EN:</w:t>
            </w:r>
          </w:p>
        </w:tc>
        <w:tc>
          <w:tcPr>
            <w:tcW w:w="1985" w:type="dxa"/>
          </w:tcPr>
          <w:p w14:paraId="30F91554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sz w:val="20"/>
              </w:rPr>
              <w:t>3. říjen 2003</w:t>
            </w:r>
          </w:p>
        </w:tc>
      </w:tr>
      <w:tr w:rsidR="00D32233" w:rsidRPr="0020763D" w14:paraId="6350D961" w14:textId="77777777" w:rsidTr="00605701">
        <w:trPr>
          <w:jc w:val="center"/>
        </w:trPr>
        <w:tc>
          <w:tcPr>
            <w:tcW w:w="7938" w:type="dxa"/>
          </w:tcPr>
          <w:p w14:paraId="3DDF5829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kern w:val="28"/>
                <w:sz w:val="20"/>
              </w:rPr>
              <w:t>Nejzazší datum pro oznámení existence této EN (doa):</w:t>
            </w:r>
          </w:p>
        </w:tc>
        <w:tc>
          <w:tcPr>
            <w:tcW w:w="1985" w:type="dxa"/>
          </w:tcPr>
          <w:p w14:paraId="3C45F83C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sz w:val="20"/>
              </w:rPr>
              <w:t>31. leden 2004</w:t>
            </w:r>
          </w:p>
        </w:tc>
      </w:tr>
      <w:tr w:rsidR="00D32233" w:rsidRPr="0020763D" w14:paraId="55C93590" w14:textId="77777777" w:rsidTr="00605701">
        <w:trPr>
          <w:jc w:val="center"/>
        </w:trPr>
        <w:tc>
          <w:tcPr>
            <w:tcW w:w="7938" w:type="dxa"/>
          </w:tcPr>
          <w:p w14:paraId="2FB0584C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kern w:val="28"/>
                <w:sz w:val="20"/>
              </w:rPr>
              <w:t>Nejzazší datum vydání nové národní normy nebo oznámení o schválení</w:t>
            </w:r>
            <w:r w:rsidRPr="0020763D">
              <w:rPr>
                <w:kern w:val="28"/>
                <w:sz w:val="20"/>
              </w:rPr>
              <w:br/>
              <w:t>k přímému používání této EN (dop/e):</w:t>
            </w:r>
          </w:p>
        </w:tc>
        <w:tc>
          <w:tcPr>
            <w:tcW w:w="1985" w:type="dxa"/>
          </w:tcPr>
          <w:p w14:paraId="1B383154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kern w:val="28"/>
                <w:sz w:val="20"/>
              </w:rPr>
              <w:br/>
            </w:r>
            <w:r w:rsidRPr="0020763D">
              <w:rPr>
                <w:sz w:val="20"/>
              </w:rPr>
              <w:t>31. červenec 2004</w:t>
            </w:r>
          </w:p>
        </w:tc>
      </w:tr>
      <w:tr w:rsidR="00D32233" w:rsidRPr="0020763D" w14:paraId="3A0AF14A" w14:textId="77777777" w:rsidTr="00605701">
        <w:trPr>
          <w:jc w:val="center"/>
        </w:trPr>
        <w:tc>
          <w:tcPr>
            <w:tcW w:w="7938" w:type="dxa"/>
          </w:tcPr>
          <w:p w14:paraId="2318AB2F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kern w:val="28"/>
                <w:sz w:val="20"/>
              </w:rPr>
              <w:t>Datum zrušení všech národních norem, které jsou v rozporu (dow):</w:t>
            </w:r>
          </w:p>
        </w:tc>
        <w:tc>
          <w:tcPr>
            <w:tcW w:w="1985" w:type="dxa"/>
          </w:tcPr>
          <w:p w14:paraId="046BE3B3" w14:textId="77777777" w:rsidR="00D32233" w:rsidRPr="0020763D" w:rsidRDefault="00D32233" w:rsidP="009D33A8">
            <w:pPr>
              <w:pStyle w:val="Texttabulky"/>
              <w:rPr>
                <w:kern w:val="28"/>
                <w:sz w:val="20"/>
              </w:rPr>
            </w:pPr>
            <w:r w:rsidRPr="0020763D">
              <w:rPr>
                <w:sz w:val="20"/>
              </w:rPr>
              <w:t>31. leden 2006</w:t>
            </w:r>
          </w:p>
        </w:tc>
      </w:tr>
    </w:tbl>
    <w:p w14:paraId="5C5BC1A3" w14:textId="57F533CB" w:rsidR="00D32233" w:rsidRDefault="00D32233" w:rsidP="006D69F9">
      <w:pPr>
        <w:pStyle w:val="Nadpis1"/>
      </w:pPr>
      <w:r>
        <w:t>Užívání modálních sloves</w:t>
      </w:r>
    </w:p>
    <w:p w14:paraId="650F4F2F" w14:textId="6DF4503C" w:rsidR="00BE5D87" w:rsidRPr="00BE5D87" w:rsidRDefault="00BE5D87" w:rsidP="00BE5D87">
      <w:pPr>
        <w:pStyle w:val="Textnormy"/>
      </w:pPr>
      <w:r w:rsidRPr="00BE5D87">
        <w:t>V tomto dokumentu jsou slovesa „</w:t>
      </w:r>
      <w:r w:rsidRPr="006D69F9">
        <w:rPr>
          <w:b/>
        </w:rPr>
        <w:t>shall</w:t>
      </w:r>
      <w:r w:rsidRPr="00BE5D87">
        <w:t>“, „</w:t>
      </w:r>
      <w:r w:rsidRPr="006D69F9">
        <w:rPr>
          <w:b/>
        </w:rPr>
        <w:t>shall not</w:t>
      </w:r>
      <w:r w:rsidRPr="00BE5D87">
        <w:t>“, „</w:t>
      </w:r>
      <w:r w:rsidRPr="006D69F9">
        <w:rPr>
          <w:b/>
        </w:rPr>
        <w:t>should</w:t>
      </w:r>
      <w:r w:rsidRPr="00BE5D87">
        <w:t>“, „</w:t>
      </w:r>
      <w:r w:rsidRPr="006D69F9">
        <w:rPr>
          <w:b/>
        </w:rPr>
        <w:t>should not</w:t>
      </w:r>
      <w:r w:rsidRPr="00BE5D87">
        <w:t>“, „</w:t>
      </w:r>
      <w:r w:rsidRPr="006D69F9">
        <w:rPr>
          <w:b/>
        </w:rPr>
        <w:t>may</w:t>
      </w:r>
      <w:r w:rsidRPr="00BE5D87">
        <w:t>“, „</w:t>
      </w:r>
      <w:r w:rsidRPr="006D69F9">
        <w:rPr>
          <w:b/>
        </w:rPr>
        <w:t>need not</w:t>
      </w:r>
      <w:r w:rsidRPr="00BE5D87">
        <w:t>“, „</w:t>
      </w:r>
      <w:r w:rsidRPr="006D69F9">
        <w:rPr>
          <w:b/>
        </w:rPr>
        <w:t>will</w:t>
      </w:r>
      <w:r w:rsidRPr="00BE5D87">
        <w:t>“, „</w:t>
      </w:r>
      <w:r w:rsidRPr="006D69F9">
        <w:rPr>
          <w:b/>
        </w:rPr>
        <w:t>will not</w:t>
      </w:r>
      <w:r w:rsidRPr="00BE5D87">
        <w:t>“, „</w:t>
      </w:r>
      <w:r w:rsidRPr="006D69F9">
        <w:rPr>
          <w:b/>
        </w:rPr>
        <w:t>can</w:t>
      </w:r>
      <w:r w:rsidRPr="00BE5D87">
        <w:t>“ a „</w:t>
      </w:r>
      <w:r w:rsidRPr="006D69F9">
        <w:rPr>
          <w:b/>
        </w:rPr>
        <w:t>cannot</w:t>
      </w:r>
      <w:r w:rsidRPr="00BE5D87">
        <w:t>“ interpretována, jak je popsáno v článku 3.2 Pravid</w:t>
      </w:r>
      <w:r>
        <w:t>e</w:t>
      </w:r>
      <w:r w:rsidRPr="00BE5D87">
        <w:t>l pro navrhování norem ETSI (Slovesné tvary pro vyjádření ustanovení).</w:t>
      </w:r>
    </w:p>
    <w:p w14:paraId="4B6F4113" w14:textId="5DB3146D" w:rsidR="00867FC2" w:rsidRPr="00867FC2" w:rsidRDefault="00BE5D87" w:rsidP="006D69F9">
      <w:pPr>
        <w:pStyle w:val="Textnormy"/>
      </w:pPr>
      <w:r w:rsidRPr="00BE5D87">
        <w:t xml:space="preserve">S výjimkou přímé citace </w:t>
      </w:r>
      <w:r w:rsidRPr="00BE5D87">
        <w:rPr>
          <w:b/>
        </w:rPr>
        <w:t>NENÍ</w:t>
      </w:r>
      <w:r w:rsidRPr="00BE5D87">
        <w:t xml:space="preserve"> v dokumentech ETSI dovoleno používat „</w:t>
      </w:r>
      <w:r w:rsidRPr="006D69F9">
        <w:rPr>
          <w:b/>
        </w:rPr>
        <w:t>must</w:t>
      </w:r>
      <w:r w:rsidRPr="00BE5D87">
        <w:t>“ a „</w:t>
      </w:r>
      <w:r w:rsidRPr="006D69F9">
        <w:rPr>
          <w:b/>
        </w:rPr>
        <w:t>must not</w:t>
      </w:r>
      <w:r w:rsidRPr="00BE5D87">
        <w:t>“.</w:t>
      </w:r>
    </w:p>
    <w:p w14:paraId="0AFF7B5F" w14:textId="3514342D" w:rsidR="004776F2" w:rsidRPr="0020763D" w:rsidRDefault="004776F2" w:rsidP="004776F2">
      <w:pPr>
        <w:pStyle w:val="Nadpis1"/>
        <w:pageBreakBefore/>
        <w:spacing w:before="0"/>
      </w:pPr>
      <w:bookmarkStart w:id="31" w:name="_Toc227721628"/>
      <w:bookmarkStart w:id="32" w:name="_Toc116450948"/>
      <w:bookmarkStart w:id="33" w:name="_Toc380735112"/>
      <w:bookmarkStart w:id="34" w:name="_Toc380735212"/>
      <w:bookmarkStart w:id="35" w:name="_Toc380825397"/>
      <w:bookmarkStart w:id="36" w:name="_Toc380827286"/>
      <w:bookmarkStart w:id="37" w:name="_Toc380886232"/>
      <w:bookmarkStart w:id="38" w:name="_Toc380886270"/>
      <w:bookmarkStart w:id="39" w:name="_Toc380886380"/>
      <w:bookmarkStart w:id="40" w:name="_Toc380886477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r w:rsidRPr="0020763D">
        <w:lastRenderedPageBreak/>
        <w:t>Úvod</w:t>
      </w:r>
      <w:bookmarkEnd w:id="31"/>
    </w:p>
    <w:p w14:paraId="062CA669" w14:textId="77777777" w:rsidR="004776F2" w:rsidRPr="004776F2" w:rsidRDefault="004776F2" w:rsidP="004776F2">
      <w:pPr>
        <w:pStyle w:val="Textnormy"/>
        <w:spacing w:after="480"/>
      </w:pPr>
      <w:r w:rsidRPr="004776F2">
        <w:t xml:space="preserve">Tato norma je částí souboru norem navržených v souladu s modulární strukturou zahrnující všechna rádiová </w:t>
      </w:r>
      <w:r>
        <w:br/>
      </w:r>
      <w:r w:rsidRPr="004776F2">
        <w:t xml:space="preserve">a telekomunikační koncová zařízení podle Směrnice R&amp;TTE [1]. Každá norma je modulem v této struktuře. </w:t>
      </w:r>
      <w:r>
        <w:br/>
      </w:r>
      <w:r w:rsidRPr="004776F2">
        <w:t>Modulární struktura je znázorněna na obrázku 1.</w:t>
      </w:r>
    </w:p>
    <w:p w14:paraId="79F8B4C7" w14:textId="77777777" w:rsidR="004776F2" w:rsidRPr="0020763D" w:rsidRDefault="004776F2" w:rsidP="004776F2">
      <w:pPr>
        <w:pStyle w:val="Obrzek"/>
      </w:pPr>
      <w:r w:rsidRPr="0020763D">
        <w:rPr>
          <w:noProof/>
        </w:rPr>
        <w:drawing>
          <wp:inline distT="0" distB="0" distL="0" distR="0" wp14:anchorId="7FA80DD9" wp14:editId="6D282FF2">
            <wp:extent cx="5242560" cy="7018020"/>
            <wp:effectExtent l="0" t="0" r="0" b="0"/>
            <wp:docPr id="7" name="Obrázek 7" descr="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1" t="3625" r="2898" b="2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701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C1DB1" w14:textId="77777777" w:rsidR="004776F2" w:rsidRPr="0020763D" w:rsidRDefault="004776F2" w:rsidP="009D33A8">
      <w:pPr>
        <w:pStyle w:val="NadpisObr"/>
      </w:pPr>
      <w:r w:rsidRPr="0020763D">
        <w:t>Obrázek 1 – Modulární struktura různých norem používaných podle Směrnice R&amp;TTE</w:t>
      </w:r>
    </w:p>
    <w:p w14:paraId="7E4C029D" w14:textId="77777777" w:rsidR="004776F2" w:rsidRPr="004776F2" w:rsidRDefault="004776F2" w:rsidP="004776F2">
      <w:pPr>
        <w:pStyle w:val="Textnormy"/>
        <w:pageBreakBefore/>
      </w:pPr>
      <w:r w:rsidRPr="004776F2">
        <w:lastRenderedPageBreak/>
        <w:t>Na levém okraji obrázku 1 jsou uvedeny různé dílčí články obsažené v článku 3 Směrnice R&amp;TTE [1].</w:t>
      </w:r>
    </w:p>
    <w:p w14:paraId="450D2FC7" w14:textId="77777777" w:rsidR="004776F2" w:rsidRPr="004776F2" w:rsidRDefault="004776F2" w:rsidP="004776F2">
      <w:pPr>
        <w:pStyle w:val="Textnormy"/>
      </w:pPr>
      <w:r w:rsidRPr="004776F2">
        <w:t>K článku 3.3 se vztahují různé vodorovné rámečky s vytečkovanými obrysy, které vyjadřují, že v těchto oblastech v době vydání této normy Komise dosud nestanovila žádné základní požadavky. Pokud budou takovéto požadavky stanoveny a pokud budou použitelné, budou opravňovat existenci jednotlivých norem, jejichž rozsah platnosti bude pravděpodobně určen funkcí nebo typem rozhraní.</w:t>
      </w:r>
    </w:p>
    <w:p w14:paraId="25EED11E" w14:textId="77777777" w:rsidR="004776F2" w:rsidRPr="004776F2" w:rsidRDefault="004776F2" w:rsidP="004776F2">
      <w:pPr>
        <w:pStyle w:val="Textnormy"/>
      </w:pPr>
      <w:r w:rsidRPr="004776F2">
        <w:t>Svislé rámečky vztahující se k článku 3.2 obsahují normy týkající se využití rádiového spektra rádiovými zařízeními. Rozsahy platnosti těchto norem jsou určovány buď kmitočtem (obvykle jsou-li harmonizována kmitočtová pásma), nebo typem rádiového zařízení.</w:t>
      </w:r>
    </w:p>
    <w:p w14:paraId="55D92DFC" w14:textId="77777777" w:rsidR="004776F2" w:rsidRPr="004776F2" w:rsidRDefault="004776F2" w:rsidP="004776F2">
      <w:pPr>
        <w:pStyle w:val="Textnormy"/>
      </w:pPr>
      <w:r w:rsidRPr="004776F2">
        <w:t>U článku 3.1b je znázorněna EN 301 489 [8], vícedílná norma pro EMC rádiových výrobků, používaná podle směrnice EMC [2].</w:t>
      </w:r>
    </w:p>
    <w:p w14:paraId="07C5FE55" w14:textId="77777777" w:rsidR="004776F2" w:rsidRPr="004776F2" w:rsidRDefault="004776F2" w:rsidP="004776F2">
      <w:pPr>
        <w:pStyle w:val="Textnormy"/>
      </w:pPr>
      <w:r w:rsidRPr="004776F2">
        <w:t>U článku 3.1a jsou znázorněny platné normy pro bezpečnost, používané v současné době podle Směrnice LV [3], a nové normy pokrývající vystavení člověka elektromagnetickým polím. Mohou se rovněž požadovat nové normy pokrývající akustickou bezpečnost.</w:t>
      </w:r>
    </w:p>
    <w:p w14:paraId="51BAB7ED" w14:textId="77777777" w:rsidR="004776F2" w:rsidRPr="004776F2" w:rsidRDefault="004776F2" w:rsidP="004776F2">
      <w:pPr>
        <w:pStyle w:val="Textnormy"/>
      </w:pPr>
      <w:r w:rsidRPr="004776F2">
        <w:t>Na spodní části obrázku 1 je znázorněn vztah norem k rádiovým zařízením a telekomunikačním koncovým zařízením. Konkrétní zařízení může být rádiovým zařízením, telekomunikačním koncovým zařízením nebo obojím. Norma pro rádiové spektrum bude platit, pokud se jedná o rádiové zařízení. Norma podle článku 3.3 bude platit také, ale jen tehdy, pokud Komise přijala příslušné základní požadavky podle Směrnice R&amp;TTE [1] a pokud je předmětné zařízení pokryto rozsahem platnosti odpovídající normy. V závislosti na charakteru zařízení mohou být tedy základní požadavky podle Směrnice R&amp;TTE [1] pokryty řadou norem.</w:t>
      </w:r>
    </w:p>
    <w:p w14:paraId="032EF005" w14:textId="77777777" w:rsidR="004776F2" w:rsidRPr="004776F2" w:rsidRDefault="004776F2" w:rsidP="004776F2">
      <w:pPr>
        <w:pStyle w:val="Textnormy"/>
        <w:keepNext/>
      </w:pPr>
      <w:r w:rsidRPr="004776F2">
        <w:t>Modulární přístup byl přijat proto, že:</w:t>
      </w:r>
    </w:p>
    <w:p w14:paraId="3ABA9907" w14:textId="77777777" w:rsidR="004776F2" w:rsidRPr="004776F2" w:rsidRDefault="004776F2" w:rsidP="00710B33">
      <w:pPr>
        <w:pStyle w:val="Textnormy"/>
        <w:keepNext/>
        <w:numPr>
          <w:ilvl w:val="0"/>
          <w:numId w:val="10"/>
        </w:numPr>
        <w:tabs>
          <w:tab w:val="clear" w:pos="284"/>
        </w:tabs>
      </w:pPr>
      <w:r w:rsidRPr="004776F2">
        <w:t xml:space="preserve">minimalizuje počet potřebných norem. Protože zařízení může mít ve skutečnosti více rozhraní a funkcí, není možné vypracovat samostatnou normu pro každou možnou kombinaci funkcí, která se může v zařízení </w:t>
      </w:r>
      <w:r>
        <w:br/>
      </w:r>
      <w:r w:rsidRPr="004776F2">
        <w:t>vyskytnout;</w:t>
      </w:r>
    </w:p>
    <w:p w14:paraId="238D77A4" w14:textId="77777777" w:rsidR="004776F2" w:rsidRPr="004776F2" w:rsidRDefault="004776F2" w:rsidP="00710B33">
      <w:pPr>
        <w:pStyle w:val="Textnormy"/>
        <w:numPr>
          <w:ilvl w:val="0"/>
          <w:numId w:val="10"/>
        </w:numPr>
        <w:tabs>
          <w:tab w:val="clear" w:pos="284"/>
        </w:tabs>
      </w:pPr>
      <w:r w:rsidRPr="004776F2">
        <w:t>poskytuje prostor pro doplnění norem:</w:t>
      </w:r>
    </w:p>
    <w:p w14:paraId="05338DBF" w14:textId="77777777" w:rsidR="004776F2" w:rsidRPr="004776F2" w:rsidRDefault="004776F2" w:rsidP="009D33A8">
      <w:pPr>
        <w:pStyle w:val="Seznamvnorm"/>
        <w:ind w:left="567"/>
      </w:pPr>
      <w:r w:rsidRPr="004776F2">
        <w:t>podle článku 3.2, pokud se dohodnou nová kmitočtová pásma; nebo</w:t>
      </w:r>
    </w:p>
    <w:p w14:paraId="25D19096" w14:textId="77777777" w:rsidR="004776F2" w:rsidRPr="004776F2" w:rsidRDefault="004776F2" w:rsidP="009D33A8">
      <w:pPr>
        <w:pStyle w:val="Seznamvnorm"/>
        <w:ind w:left="567"/>
      </w:pPr>
      <w:r w:rsidRPr="004776F2">
        <w:t>podle článku 3.3, pokud Komise vydá nezbytná rozhodnutí, aniž by se vyžadovala změna norem, které jsou již publikovány;</w:t>
      </w:r>
    </w:p>
    <w:p w14:paraId="73A486CE" w14:textId="77777777" w:rsidR="004776F2" w:rsidRPr="004776F2" w:rsidRDefault="004776F2" w:rsidP="00710B33">
      <w:pPr>
        <w:pStyle w:val="Textnormy"/>
        <w:numPr>
          <w:ilvl w:val="0"/>
          <w:numId w:val="10"/>
        </w:numPr>
        <w:tabs>
          <w:tab w:val="clear" w:pos="284"/>
        </w:tabs>
      </w:pPr>
      <w:r w:rsidRPr="004776F2">
        <w:t>objasňuje, zjednodušuje a podporuje používání harmonizovaných norem jako důležitého prostředku posuzování shody.</w:t>
      </w:r>
    </w:p>
    <w:p w14:paraId="09D49582" w14:textId="77777777" w:rsidR="004776F2" w:rsidRPr="004776F2" w:rsidRDefault="004776F2" w:rsidP="004776F2">
      <w:pPr>
        <w:pStyle w:val="Textnormy"/>
      </w:pPr>
      <w:r w:rsidRPr="004776F2">
        <w:t>V této normě je vzata v úvahu odlišnost zpracování specifikací výrobků, z nichž vycházejí všechny části EN 301 908.</w:t>
      </w:r>
    </w:p>
    <w:p w14:paraId="3B785BB1" w14:textId="77777777" w:rsidR="004776F2" w:rsidRPr="004776F2" w:rsidRDefault="004776F2" w:rsidP="004776F2">
      <w:pPr>
        <w:pStyle w:val="Nadpis1"/>
        <w:pageBreakBefore/>
        <w:spacing w:before="0"/>
      </w:pPr>
      <w:bookmarkStart w:id="41" w:name="_Toc69621970"/>
      <w:bookmarkStart w:id="42" w:name="_Toc227721629"/>
      <w:r w:rsidRPr="004776F2">
        <w:lastRenderedPageBreak/>
        <w:t>1</w:t>
      </w:r>
      <w:r w:rsidRPr="004776F2">
        <w:t> </w:t>
      </w:r>
      <w:r w:rsidRPr="004776F2">
        <w:t>Rozsah platnosti</w:t>
      </w:r>
      <w:bookmarkEnd w:id="41"/>
      <w:bookmarkEnd w:id="42"/>
    </w:p>
    <w:p w14:paraId="13626960" w14:textId="77777777" w:rsidR="004776F2" w:rsidRPr="004776F2" w:rsidRDefault="004776F2" w:rsidP="004776F2">
      <w:pPr>
        <w:pStyle w:val="Textnormy"/>
        <w:keepNext/>
      </w:pPr>
      <w:r w:rsidRPr="004776F2">
        <w:t>Tato norma platí pro následující typ rádiových zařízení:</w:t>
      </w:r>
    </w:p>
    <w:p w14:paraId="417133B5" w14:textId="77777777" w:rsidR="004776F2" w:rsidRPr="004776F2" w:rsidRDefault="004776F2" w:rsidP="00710B33">
      <w:pPr>
        <w:pStyle w:val="Textnormy"/>
        <w:numPr>
          <w:ilvl w:val="0"/>
          <w:numId w:val="9"/>
        </w:numPr>
        <w:tabs>
          <w:tab w:val="clear" w:pos="720"/>
        </w:tabs>
        <w:ind w:left="284" w:hanging="284"/>
      </w:pPr>
      <w:r w:rsidRPr="004776F2">
        <w:t>Základnové stanice pro IMT-2000, CDMA TDD (UTRA TDD).</w:t>
      </w:r>
    </w:p>
    <w:p w14:paraId="2ED98A8F" w14:textId="77777777" w:rsidR="004776F2" w:rsidRPr="004776F2" w:rsidRDefault="004776F2" w:rsidP="004776F2">
      <w:pPr>
        <w:pStyle w:val="Textnormy"/>
      </w:pPr>
      <w:r w:rsidRPr="004776F2">
        <w:t>Požadavky v této normě platí jak pro základnové stanice s velkým dosahem, tak pro lokální základnové stanice, není-li stanoveno jinak.</w:t>
      </w:r>
    </w:p>
    <w:p w14:paraId="6AA567B0" w14:textId="77777777" w:rsidR="004776F2" w:rsidRPr="004776F2" w:rsidRDefault="004776F2" w:rsidP="004776F2">
      <w:pPr>
        <w:pStyle w:val="Textnormy"/>
      </w:pPr>
      <w:r w:rsidRPr="004776F2">
        <w:t>Pro základnové stanice určené pro všeobecná použití podle vydání 99 a 4 platí pouze požadavky na základnové stanice s velkým dosahem.</w:t>
      </w:r>
    </w:p>
    <w:p w14:paraId="6687BFAC" w14:textId="1558E901" w:rsidR="004776F2" w:rsidRPr="004776F2" w:rsidRDefault="004776F2" w:rsidP="004776F2">
      <w:pPr>
        <w:pStyle w:val="Textnormy"/>
      </w:pPr>
      <w:r w:rsidRPr="004776F2">
        <w:t>Tato norma je určena k pokrytí ustanovení článku 3.2 Směrnice 1999/5/</w:t>
      </w:r>
      <w:r w:rsidR="007C4D6D" w:rsidRPr="004776F2">
        <w:t>E</w:t>
      </w:r>
      <w:r w:rsidR="007C4D6D">
        <w:t>S</w:t>
      </w:r>
      <w:r w:rsidR="007C4D6D" w:rsidRPr="004776F2">
        <w:t xml:space="preserve"> </w:t>
      </w:r>
      <w:r w:rsidRPr="004776F2">
        <w:t>[1] (Směrnice R&amp;TTE), který stanoví, že „[…] rádiová zařízení musí být konstruována tak, aby efektivně využívala kmitočtové spektrum přidělené zemským/kosmickým radiokomunikacím a technickým prostředkům umístěným na oběžné dráze, aby se zabránilo vzájemnému rušení“.</w:t>
      </w:r>
    </w:p>
    <w:p w14:paraId="00D1298A" w14:textId="77777777" w:rsidR="004776F2" w:rsidRPr="004776F2" w:rsidRDefault="004776F2" w:rsidP="004776F2">
      <w:pPr>
        <w:pStyle w:val="Textnormy"/>
      </w:pPr>
      <w:bookmarkStart w:id="43" w:name="_Toc359251364"/>
      <w:bookmarkStart w:id="44" w:name="_Toc359251522"/>
      <w:bookmarkStart w:id="45" w:name="_Toc359251682"/>
      <w:bookmarkStart w:id="46" w:name="_Toc359251939"/>
      <w:bookmarkStart w:id="47" w:name="_Toc359252128"/>
      <w:bookmarkStart w:id="48" w:name="_Toc359252243"/>
      <w:bookmarkStart w:id="49" w:name="_Toc359252486"/>
      <w:bookmarkStart w:id="50" w:name="_Toc359252726"/>
      <w:bookmarkStart w:id="51" w:name="_Toc359252847"/>
      <w:bookmarkStart w:id="52" w:name="_Toc359252921"/>
      <w:bookmarkStart w:id="53" w:name="_Toc359283647"/>
      <w:bookmarkStart w:id="54" w:name="_Toc365965547"/>
      <w:bookmarkStart w:id="55" w:name="_Toc365967314"/>
      <w:bookmarkStart w:id="56" w:name="_Toc365968761"/>
      <w:bookmarkStart w:id="57" w:name="_Toc367082926"/>
      <w:bookmarkStart w:id="58" w:name="_Toc372429541"/>
      <w:bookmarkStart w:id="59" w:name="_Toc375302775"/>
      <w:bookmarkStart w:id="60" w:name="_Toc379098932"/>
      <w:bookmarkStart w:id="61" w:name="_Toc380735105"/>
      <w:bookmarkStart w:id="62" w:name="_Toc380735205"/>
      <w:bookmarkStart w:id="63" w:name="_Toc380825389"/>
      <w:bookmarkStart w:id="64" w:name="_Toc380827278"/>
      <w:bookmarkStart w:id="65" w:name="_Toc380886224"/>
      <w:bookmarkStart w:id="66" w:name="_Toc380886262"/>
      <w:bookmarkStart w:id="67" w:name="_Toc380886372"/>
      <w:bookmarkStart w:id="68" w:name="_Toc380886469"/>
      <w:r w:rsidRPr="004776F2">
        <w:t>Navíc k této normě budou pro zařízení v rozsahu platnosti této normy platit i jiné EN, které specifikují technické požadavky v souvislosti se základními požadavky podle jiných částí článku 3 Směrnice R&amp;TTE [1].</w:t>
      </w:r>
    </w:p>
    <w:p w14:paraId="733356DD" w14:textId="77777777" w:rsidR="004776F2" w:rsidRPr="004776F2" w:rsidRDefault="004776F2" w:rsidP="004776F2">
      <w:pPr>
        <w:pStyle w:val="Poznmka"/>
      </w:pPr>
      <w:r w:rsidRPr="004776F2">
        <w:t>POZNÁMKA</w:t>
      </w:r>
      <w:r w:rsidRPr="006D69F9">
        <w:rPr>
          <w:rFonts w:eastAsia="Arial Unicode MS" w:cs="Arial"/>
        </w:rPr>
        <w:t> </w:t>
      </w:r>
      <w:r w:rsidRPr="004776F2">
        <w:t xml:space="preserve">Seznam takových EN je uveden na webové stránce: </w:t>
      </w:r>
      <w:r w:rsidRPr="004776F2">
        <w:rPr>
          <w:u w:val="single"/>
        </w:rPr>
        <w:t>http://www.newapproach.org/</w:t>
      </w:r>
      <w:r w:rsidRPr="004776F2">
        <w:t>.</w:t>
      </w:r>
    </w:p>
    <w:p w14:paraId="13986449" w14:textId="77777777" w:rsidR="004776F2" w:rsidRPr="004776F2" w:rsidRDefault="004776F2" w:rsidP="004776F2">
      <w:pPr>
        <w:pStyle w:val="Nadpis1"/>
      </w:pPr>
      <w:bookmarkStart w:id="69" w:name="_Toc69621971"/>
      <w:bookmarkStart w:id="70" w:name="_Toc227721630"/>
      <w:r w:rsidRPr="004776F2">
        <w:t>2</w:t>
      </w:r>
      <w:r w:rsidRPr="004776F2">
        <w:t> 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r w:rsidRPr="004776F2">
        <w:t>Citované dokumenty</w:t>
      </w:r>
      <w:bookmarkEnd w:id="70"/>
    </w:p>
    <w:p w14:paraId="584BF73F" w14:textId="77777777" w:rsidR="004776F2" w:rsidRPr="004776F2" w:rsidRDefault="004776F2" w:rsidP="004776F2">
      <w:pPr>
        <w:pStyle w:val="Textnormy"/>
      </w:pPr>
      <w:r w:rsidRPr="004776F2">
        <w:t>Následující dokumenty obsahují ustanovení, která formou odkazů v tomto textu tvoří ustanovení této normy.</w:t>
      </w:r>
    </w:p>
    <w:p w14:paraId="75590499" w14:textId="77777777" w:rsidR="004776F2" w:rsidRPr="004776F2" w:rsidRDefault="004776F2" w:rsidP="00710B33">
      <w:pPr>
        <w:pStyle w:val="Textnormy"/>
        <w:numPr>
          <w:ilvl w:val="0"/>
          <w:numId w:val="9"/>
        </w:numPr>
        <w:tabs>
          <w:tab w:val="clear" w:pos="720"/>
        </w:tabs>
        <w:ind w:left="284" w:hanging="284"/>
      </w:pPr>
      <w:r w:rsidRPr="004776F2">
        <w:t>Odkazy jsou buď datované (identifikované datem vydání, číslem vydání, číslem verze atd.), nebo nedatované.</w:t>
      </w:r>
    </w:p>
    <w:p w14:paraId="7312642E" w14:textId="77777777" w:rsidR="004776F2" w:rsidRPr="004776F2" w:rsidRDefault="004776F2" w:rsidP="00710B33">
      <w:pPr>
        <w:pStyle w:val="Textnormy"/>
        <w:numPr>
          <w:ilvl w:val="0"/>
          <w:numId w:val="9"/>
        </w:numPr>
        <w:tabs>
          <w:tab w:val="clear" w:pos="720"/>
        </w:tabs>
        <w:ind w:left="284" w:hanging="284"/>
      </w:pPr>
      <w:r w:rsidRPr="004776F2">
        <w:t>Pro datovaný odkaz neplatí následné revize.</w:t>
      </w:r>
    </w:p>
    <w:p w14:paraId="239A29A1" w14:textId="77777777" w:rsidR="004776F2" w:rsidRPr="004776F2" w:rsidRDefault="004776F2" w:rsidP="00710B33">
      <w:pPr>
        <w:pStyle w:val="Textnormy"/>
        <w:numPr>
          <w:ilvl w:val="0"/>
          <w:numId w:val="9"/>
        </w:numPr>
        <w:tabs>
          <w:tab w:val="clear" w:pos="720"/>
        </w:tabs>
        <w:ind w:left="284" w:hanging="284"/>
      </w:pPr>
      <w:r w:rsidRPr="004776F2">
        <w:t>Pro nedatovaný odkaz platí poslední verze.</w:t>
      </w:r>
    </w:p>
    <w:p w14:paraId="6C3BD522" w14:textId="77777777" w:rsidR="004776F2" w:rsidRPr="004776F2" w:rsidRDefault="004776F2" w:rsidP="004776F2">
      <w:pPr>
        <w:pStyle w:val="Textnormy"/>
      </w:pPr>
      <w:r w:rsidRPr="004776F2">
        <w:t xml:space="preserve">Odkazy, které nejsou veřejně dostupné v předpokládaném místě, lze nalézt na </w:t>
      </w:r>
      <w:r w:rsidRPr="004776F2">
        <w:rPr>
          <w:u w:val="single"/>
        </w:rPr>
        <w:t>http://docbox.etsi.org/Reference</w:t>
      </w:r>
      <w:r w:rsidRPr="004776F2">
        <w:t>.</w:t>
      </w:r>
    </w:p>
    <w:p w14:paraId="4E6C7CC6" w14:textId="77777777" w:rsidR="004776F2" w:rsidRPr="004776F2" w:rsidRDefault="004776F2" w:rsidP="004776F2">
      <w:pPr>
        <w:pStyle w:val="TextnormyUS"/>
        <w:ind w:left="567" w:hanging="567"/>
        <w:rPr>
          <w:lang w:val="en-US"/>
        </w:rPr>
      </w:pPr>
      <w:r w:rsidRPr="004776F2">
        <w:rPr>
          <w:lang w:val="en-US"/>
        </w:rPr>
        <w:t>[1]</w:t>
      </w:r>
      <w:r w:rsidRPr="004776F2">
        <w:rPr>
          <w:lang w:val="en-US"/>
        </w:rPr>
        <w:tab/>
        <w:t xml:space="preserve">Directive </w:t>
      </w:r>
      <w:r w:rsidRPr="004776F2">
        <w:rPr>
          <w:snapToGrid w:val="0"/>
          <w:lang w:val="en-US"/>
        </w:rPr>
        <w:t>1999/5/EC of the European Parliament and of the Council of 9 March 1999 on radio equipment and telecommunications terminal equipment and the mutual recognition of their conformity (</w:t>
      </w:r>
      <w:r w:rsidRPr="004776F2">
        <w:rPr>
          <w:lang w:val="en-US"/>
        </w:rPr>
        <w:t>R&amp;TTE Directive)</w:t>
      </w:r>
    </w:p>
    <w:p w14:paraId="32FBA8D9" w14:textId="77777777" w:rsidR="004776F2" w:rsidRPr="004776F2" w:rsidRDefault="004776F2" w:rsidP="004776F2">
      <w:pPr>
        <w:pStyle w:val="Textnormy"/>
        <w:ind w:left="567"/>
        <w:rPr>
          <w:i/>
        </w:rPr>
      </w:pPr>
      <w:r w:rsidRPr="004776F2">
        <w:rPr>
          <w:i/>
        </w:rPr>
        <w:t xml:space="preserve">(Směrnice </w:t>
      </w:r>
      <w:r w:rsidRPr="004776F2">
        <w:rPr>
          <w:i/>
          <w:snapToGrid w:val="0"/>
        </w:rPr>
        <w:t>1999/5/ES Evropského parlamentu a </w:t>
      </w:r>
      <w:r w:rsidRPr="004776F2">
        <w:rPr>
          <w:i/>
        </w:rPr>
        <w:t>Rady z 9. března 1999, o rádiových a telekomunikačních koncových zařízeních a vzájemném uznávání jejich shody (Směrnice R&amp;TTE)</w:t>
      </w:r>
      <w:r w:rsidRPr="004776F2">
        <w:rPr>
          <w:i/>
          <w:snapToGrid w:val="0"/>
        </w:rPr>
        <w:t>)</w:t>
      </w:r>
    </w:p>
    <w:p w14:paraId="7B895C67" w14:textId="77777777" w:rsidR="004776F2" w:rsidRPr="004776F2" w:rsidRDefault="004776F2" w:rsidP="004776F2">
      <w:pPr>
        <w:pStyle w:val="TextnormyUS"/>
        <w:ind w:left="567" w:hanging="567"/>
        <w:rPr>
          <w:lang w:val="en-US"/>
        </w:rPr>
      </w:pPr>
      <w:r w:rsidRPr="004776F2">
        <w:rPr>
          <w:lang w:val="en-US"/>
        </w:rPr>
        <w:t>[2]</w:t>
      </w:r>
      <w:r w:rsidRPr="004776F2">
        <w:rPr>
          <w:lang w:val="en-US"/>
        </w:rPr>
        <w:tab/>
      </w:r>
      <w:r w:rsidRPr="004776F2">
        <w:rPr>
          <w:snapToGrid w:val="0"/>
          <w:lang w:val="en-US"/>
        </w:rPr>
        <w:t>Council Directive 89/336/EEC of 3 May 1989 on the approximation of the laws of the Member States relating to electromagnetic compatibility (EMC Directive)</w:t>
      </w:r>
    </w:p>
    <w:p w14:paraId="5FAAD7DF" w14:textId="77777777" w:rsidR="004776F2" w:rsidRPr="004776F2" w:rsidRDefault="004776F2" w:rsidP="004776F2">
      <w:pPr>
        <w:pStyle w:val="Textnormy"/>
        <w:ind w:left="567"/>
        <w:rPr>
          <w:i/>
        </w:rPr>
      </w:pPr>
      <w:r w:rsidRPr="004776F2">
        <w:rPr>
          <w:i/>
          <w:snapToGrid w:val="0"/>
        </w:rPr>
        <w:t>(</w:t>
      </w:r>
      <w:r w:rsidRPr="004776F2">
        <w:rPr>
          <w:i/>
        </w:rPr>
        <w:t>Směrnice Rady 89/336/EES z 3. května 1989 o sbližování právních předpisů členských států týkajících se elektromagnetické kompatibility (Směrnice EMC)</w:t>
      </w:r>
      <w:r w:rsidRPr="004776F2">
        <w:rPr>
          <w:i/>
          <w:snapToGrid w:val="0"/>
        </w:rPr>
        <w:t>)</w:t>
      </w:r>
    </w:p>
    <w:p w14:paraId="38287AFA" w14:textId="77777777" w:rsidR="004776F2" w:rsidRPr="004776F2" w:rsidRDefault="004776F2" w:rsidP="004776F2">
      <w:pPr>
        <w:pStyle w:val="TextnormyUS"/>
        <w:ind w:left="567" w:hanging="567"/>
        <w:rPr>
          <w:lang w:val="en-US"/>
        </w:rPr>
      </w:pPr>
      <w:r w:rsidRPr="004776F2">
        <w:rPr>
          <w:lang w:val="en-US"/>
        </w:rPr>
        <w:t>[3]</w:t>
      </w:r>
      <w:r w:rsidRPr="004776F2">
        <w:rPr>
          <w:lang w:val="en-US"/>
        </w:rPr>
        <w:tab/>
        <w:t>ETSI TR 100 028 (V1.4.1) (</w:t>
      </w:r>
      <w:r w:rsidR="00CC2337">
        <w:rPr>
          <w:lang w:val="en-US"/>
        </w:rPr>
        <w:t>soubor</w:t>
      </w:r>
      <w:r w:rsidRPr="004776F2">
        <w:rPr>
          <w:lang w:val="en-US"/>
        </w:rPr>
        <w:t>)</w:t>
      </w:r>
      <w:r w:rsidRPr="006D69F9">
        <w:rPr>
          <w:rFonts w:eastAsia="Arial Unicode MS" w:cs="Arial Unicode MS"/>
          <w:lang w:val="en-US"/>
        </w:rPr>
        <w:t> </w:t>
      </w:r>
      <w:r w:rsidRPr="004776F2">
        <w:rPr>
          <w:snapToGrid w:val="0"/>
          <w:lang w:val="en-US"/>
        </w:rPr>
        <w:t>Electromagnetic compatibility and Radio spectrum Matters (ERM); Uncertainties in the measurement of mobile radio equipment characteristics</w:t>
      </w:r>
    </w:p>
    <w:p w14:paraId="0402910E" w14:textId="77777777" w:rsidR="004776F2" w:rsidRPr="004776F2" w:rsidRDefault="004776F2" w:rsidP="004776F2">
      <w:pPr>
        <w:pStyle w:val="Textnormy"/>
        <w:ind w:left="567"/>
        <w:rPr>
          <w:i/>
        </w:rPr>
      </w:pPr>
      <w:r w:rsidRPr="004776F2">
        <w:rPr>
          <w:i/>
        </w:rPr>
        <w:t xml:space="preserve">(Elektromagnetická kompatibilita a rádiové spektrum (ERM); Nejistoty při měření vlastností pohyblivých </w:t>
      </w:r>
      <w:r>
        <w:rPr>
          <w:i/>
        </w:rPr>
        <w:br/>
      </w:r>
      <w:r w:rsidRPr="004776F2">
        <w:rPr>
          <w:i/>
        </w:rPr>
        <w:t>rádiových zařízení)</w:t>
      </w:r>
    </w:p>
    <w:p w14:paraId="71837D75" w14:textId="77777777" w:rsidR="004776F2" w:rsidRPr="004776F2" w:rsidRDefault="004776F2" w:rsidP="004776F2">
      <w:pPr>
        <w:pStyle w:val="Nadpis1"/>
      </w:pPr>
      <w:bookmarkStart w:id="71" w:name="_Toc227721631"/>
      <w:r w:rsidRPr="004776F2">
        <w:t>3</w:t>
      </w:r>
      <w:r w:rsidRPr="004776F2">
        <w:t> </w:t>
      </w:r>
      <w:r w:rsidRPr="004776F2">
        <w:t>Definice, značky a zkratky</w:t>
      </w:r>
      <w:bookmarkEnd w:id="71"/>
    </w:p>
    <w:p w14:paraId="5C70D442" w14:textId="77777777" w:rsidR="004776F2" w:rsidRPr="004776F2" w:rsidRDefault="004776F2" w:rsidP="004776F2">
      <w:pPr>
        <w:pStyle w:val="Textnormy"/>
      </w:pPr>
    </w:p>
    <w:p w14:paraId="6F8BD166" w14:textId="77777777" w:rsidR="004776F2" w:rsidRPr="0020763D" w:rsidRDefault="004776F2" w:rsidP="004776F2">
      <w:pPr>
        <w:pStyle w:val="Nadpis1"/>
        <w:pageBreakBefore/>
        <w:spacing w:before="0"/>
        <w:rPr>
          <w:b w:val="0"/>
        </w:rPr>
      </w:pPr>
      <w:bookmarkStart w:id="72" w:name="_Toc8108638"/>
      <w:bookmarkStart w:id="73" w:name="_Toc9062624"/>
      <w:bookmarkStart w:id="74" w:name="_Toc9922266"/>
      <w:bookmarkStart w:id="75" w:name="_Toc12868276"/>
      <w:bookmarkStart w:id="76" w:name="_Toc69622105"/>
      <w:bookmarkStart w:id="77" w:name="_Toc227721632"/>
      <w:bookmarkEnd w:id="32"/>
      <w:r w:rsidRPr="0020763D">
        <w:lastRenderedPageBreak/>
        <w:t>Příloha A </w:t>
      </w:r>
      <w:r w:rsidRPr="0020763D">
        <w:rPr>
          <w:b w:val="0"/>
        </w:rPr>
        <w:t>(informativní)</w:t>
      </w:r>
      <w:bookmarkEnd w:id="72"/>
      <w:bookmarkEnd w:id="73"/>
      <w:bookmarkEnd w:id="74"/>
      <w:bookmarkEnd w:id="75"/>
      <w:bookmarkEnd w:id="76"/>
      <w:bookmarkEnd w:id="77"/>
    </w:p>
    <w:p w14:paraId="61ED25B2" w14:textId="77777777" w:rsidR="004776F2" w:rsidRPr="0020763D" w:rsidRDefault="004776F2" w:rsidP="008819A5">
      <w:pPr>
        <w:pStyle w:val="Nadpis1"/>
        <w:spacing w:after="240"/>
      </w:pPr>
      <w:bookmarkStart w:id="78" w:name="_Toc69622106"/>
      <w:r w:rsidRPr="0020763D">
        <w:t>Název EN v úředních jazycích</w:t>
      </w:r>
      <w:bookmarkEnd w:id="78"/>
    </w:p>
    <w:tbl>
      <w:tblPr>
        <w:tblW w:w="9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04"/>
        <w:gridCol w:w="8419"/>
      </w:tblGrid>
      <w:tr w:rsidR="004776F2" w:rsidRPr="0020763D" w14:paraId="664471DB" w14:textId="77777777" w:rsidTr="00514E6B">
        <w:trPr>
          <w:jc w:val="center"/>
        </w:trPr>
        <w:tc>
          <w:tcPr>
            <w:tcW w:w="1504" w:type="dxa"/>
          </w:tcPr>
          <w:p w14:paraId="61CC1061" w14:textId="77777777" w:rsidR="004776F2" w:rsidRPr="0020763D" w:rsidRDefault="004776F2" w:rsidP="00514E6B">
            <w:pPr>
              <w:pStyle w:val="Texttabulky"/>
              <w:jc w:val="center"/>
              <w:rPr>
                <w:b/>
              </w:rPr>
            </w:pPr>
            <w:r w:rsidRPr="0020763D">
              <w:rPr>
                <w:b/>
              </w:rPr>
              <w:t>Jazyk</w:t>
            </w:r>
          </w:p>
        </w:tc>
        <w:tc>
          <w:tcPr>
            <w:tcW w:w="8419" w:type="dxa"/>
          </w:tcPr>
          <w:p w14:paraId="6C9D3699" w14:textId="77777777" w:rsidR="004776F2" w:rsidRPr="0020763D" w:rsidRDefault="004776F2" w:rsidP="00514E6B">
            <w:pPr>
              <w:pStyle w:val="Texttabulky"/>
              <w:jc w:val="center"/>
              <w:rPr>
                <w:b/>
              </w:rPr>
            </w:pPr>
            <w:r w:rsidRPr="0020763D">
              <w:rPr>
                <w:b/>
              </w:rPr>
              <w:t>Název EN</w:t>
            </w:r>
          </w:p>
        </w:tc>
      </w:tr>
      <w:tr w:rsidR="004776F2" w:rsidRPr="0020763D" w14:paraId="7E860242" w14:textId="77777777" w:rsidTr="00514E6B">
        <w:trPr>
          <w:jc w:val="center"/>
        </w:trPr>
        <w:tc>
          <w:tcPr>
            <w:tcW w:w="1504" w:type="dxa"/>
          </w:tcPr>
          <w:p w14:paraId="6AD0DC83" w14:textId="77777777" w:rsidR="004776F2" w:rsidRPr="0020763D" w:rsidRDefault="004776F2" w:rsidP="00514E6B">
            <w:pPr>
              <w:pStyle w:val="Texttabulky"/>
            </w:pPr>
            <w:r w:rsidRPr="0020763D">
              <w:t>Dánština</w:t>
            </w:r>
          </w:p>
        </w:tc>
        <w:tc>
          <w:tcPr>
            <w:tcW w:w="8419" w:type="dxa"/>
          </w:tcPr>
          <w:p w14:paraId="69A87464" w14:textId="77777777" w:rsidR="004776F2" w:rsidRPr="0020763D" w:rsidRDefault="004776F2" w:rsidP="00514E6B">
            <w:pPr>
              <w:pStyle w:val="Texttabulky"/>
              <w:jc w:val="both"/>
              <w:rPr>
                <w:lang w:val="da-DK"/>
              </w:rPr>
            </w:pPr>
            <w:r w:rsidRPr="0020763D">
              <w:rPr>
                <w:snapToGrid w:val="0"/>
                <w:lang w:val="da-DK"/>
              </w:rPr>
              <w:t>Elektromagnetisk kompatibilitet og radiospektrumanliggender (ERM); Basisstationer (BS), Repeaters og brugerudstyr (UE) for IMT-2000 CDMA tredje generations cellulær radionet; Part 7: Harmoniseret EN for IMT-2000, CDMA TDD (UTRA TDD) (BS), der dækker de væsentlige krav i R&amp;TTE Direktivets artikel 3.2</w:t>
            </w:r>
          </w:p>
        </w:tc>
      </w:tr>
      <w:tr w:rsidR="004776F2" w:rsidRPr="0020763D" w14:paraId="13E54C28" w14:textId="77777777" w:rsidTr="00514E6B">
        <w:trPr>
          <w:jc w:val="center"/>
        </w:trPr>
        <w:tc>
          <w:tcPr>
            <w:tcW w:w="1504" w:type="dxa"/>
          </w:tcPr>
          <w:p w14:paraId="76118753" w14:textId="77777777" w:rsidR="004776F2" w:rsidRPr="0020763D" w:rsidRDefault="004776F2" w:rsidP="00514E6B">
            <w:pPr>
              <w:pStyle w:val="Texttabulky"/>
            </w:pPr>
            <w:r w:rsidRPr="0020763D">
              <w:t>Nizozemština</w:t>
            </w:r>
          </w:p>
        </w:tc>
        <w:tc>
          <w:tcPr>
            <w:tcW w:w="8419" w:type="dxa"/>
          </w:tcPr>
          <w:p w14:paraId="198163FB" w14:textId="77777777" w:rsidR="004776F2" w:rsidRPr="0020763D" w:rsidRDefault="004776F2" w:rsidP="00514E6B">
            <w:pPr>
              <w:pStyle w:val="Texttabulky"/>
              <w:jc w:val="both"/>
            </w:pPr>
            <w:r w:rsidRPr="0020763D">
              <w:rPr>
                <w:snapToGrid w:val="0"/>
              </w:rPr>
              <w:t xml:space="preserve">Elektromagnetische compatibiliteit en radiospectrum-zaken (ERM); Basisstations (BS), Repeaters en </w:t>
            </w:r>
            <w:r w:rsidRPr="0020763D">
              <w:rPr>
                <w:snapToGrid w:val="0"/>
                <w:spacing w:val="-4"/>
              </w:rPr>
              <w:t>gebruikersapparatuur (UE) voor IMT-2000 derde generatie mobiele netwerken; Deel 7: Geharmoniseerde</w:t>
            </w:r>
            <w:r w:rsidRPr="0020763D">
              <w:rPr>
                <w:snapToGrid w:val="0"/>
              </w:rPr>
              <w:t xml:space="preserve"> EN voor IMT-2000, CDMA TDD (UTRA TDD) (BS), welke invulling geeft aan de wezenlijke vereisten, neergelegd in artikel 3.2 van de R&amp;TTE-richtlijn</w:t>
            </w:r>
          </w:p>
        </w:tc>
      </w:tr>
      <w:tr w:rsidR="004776F2" w:rsidRPr="0020763D" w14:paraId="1BD17612" w14:textId="77777777" w:rsidTr="00514E6B">
        <w:trPr>
          <w:jc w:val="center"/>
        </w:trPr>
        <w:tc>
          <w:tcPr>
            <w:tcW w:w="1504" w:type="dxa"/>
          </w:tcPr>
          <w:p w14:paraId="5EA7684E" w14:textId="77777777" w:rsidR="004776F2" w:rsidRPr="0020763D" w:rsidRDefault="004776F2" w:rsidP="00514E6B">
            <w:pPr>
              <w:pStyle w:val="Texttabulky"/>
            </w:pPr>
            <w:r w:rsidRPr="0020763D">
              <w:t>Angličtina</w:t>
            </w:r>
          </w:p>
        </w:tc>
        <w:tc>
          <w:tcPr>
            <w:tcW w:w="8419" w:type="dxa"/>
          </w:tcPr>
          <w:p w14:paraId="57596701" w14:textId="77777777" w:rsidR="004776F2" w:rsidRPr="0020763D" w:rsidRDefault="004776F2" w:rsidP="00514E6B">
            <w:pPr>
              <w:pStyle w:val="Texttabulky"/>
              <w:jc w:val="both"/>
              <w:rPr>
                <w:lang w:val="en-US"/>
              </w:rPr>
            </w:pPr>
            <w:r w:rsidRPr="0020763D">
              <w:rPr>
                <w:snapToGrid w:val="0"/>
                <w:lang w:val="en-US"/>
              </w:rPr>
              <w:t xml:space="preserve">Electromagnetic compatibility and Radio spectrum Matters (ERM); Base Stations (BS), Repeaters and </w:t>
            </w:r>
            <w:r w:rsidRPr="0020763D">
              <w:rPr>
                <w:snapToGrid w:val="0"/>
                <w:spacing w:val="-4"/>
                <w:lang w:val="en-US"/>
              </w:rPr>
              <w:t xml:space="preserve">User Equipment (UE) for IMT-2000 Third-Generation cellular networks; Part 7: Harmonized EN for IMT-2000, </w:t>
            </w:r>
            <w:r w:rsidRPr="0020763D">
              <w:rPr>
                <w:snapToGrid w:val="0"/>
                <w:lang w:val="en-US"/>
              </w:rPr>
              <w:t>CDMA TDD (UTRA TDD) (BS) covering essential requirements of article 3.2 of the R&amp;TTE Directive</w:t>
            </w:r>
          </w:p>
        </w:tc>
      </w:tr>
    </w:tbl>
    <w:p w14:paraId="4DAB48CF" w14:textId="77777777" w:rsidR="004776F2" w:rsidRDefault="004776F2" w:rsidP="008819A5">
      <w:pPr>
        <w:pStyle w:val="Nadpis1"/>
        <w:pageBreakBefore/>
        <w:spacing w:before="0" w:after="240"/>
      </w:pPr>
      <w:bookmarkStart w:id="79" w:name="_Toc116450951"/>
      <w:bookmarkStart w:id="80" w:name="_Toc227721633"/>
      <w:r w:rsidRPr="0020763D">
        <w:lastRenderedPageBreak/>
        <w:t>Historie</w:t>
      </w:r>
      <w:bookmarkEnd w:id="79"/>
      <w:bookmarkEnd w:id="80"/>
    </w:p>
    <w:tbl>
      <w:tblPr>
        <w:tblW w:w="99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5"/>
        <w:gridCol w:w="1353"/>
        <w:gridCol w:w="7215"/>
      </w:tblGrid>
      <w:tr w:rsidR="004776F2" w:rsidRPr="0020763D" w14:paraId="271A6105" w14:textId="77777777" w:rsidTr="00514E6B">
        <w:trPr>
          <w:jc w:val="center"/>
        </w:trPr>
        <w:tc>
          <w:tcPr>
            <w:tcW w:w="9923" w:type="dxa"/>
            <w:gridSpan w:val="3"/>
          </w:tcPr>
          <w:p w14:paraId="3F1516D9" w14:textId="77777777" w:rsidR="004776F2" w:rsidRPr="0020763D" w:rsidRDefault="004776F2" w:rsidP="00514E6B">
            <w:pPr>
              <w:pStyle w:val="Texttabulky"/>
              <w:jc w:val="center"/>
              <w:rPr>
                <w:b/>
              </w:rPr>
            </w:pPr>
            <w:r w:rsidRPr="0020763D">
              <w:rPr>
                <w:b/>
              </w:rPr>
              <w:t>Přehled dokumentů</w:t>
            </w:r>
          </w:p>
        </w:tc>
      </w:tr>
      <w:tr w:rsidR="004776F2" w:rsidRPr="0020763D" w14:paraId="3413F6AC" w14:textId="77777777" w:rsidTr="00514E6B">
        <w:trPr>
          <w:jc w:val="center"/>
        </w:trPr>
        <w:tc>
          <w:tcPr>
            <w:tcW w:w="1355" w:type="dxa"/>
          </w:tcPr>
          <w:p w14:paraId="3A08BCA8" w14:textId="77777777" w:rsidR="004776F2" w:rsidRPr="0020763D" w:rsidRDefault="004776F2" w:rsidP="00514E6B">
            <w:pPr>
              <w:pStyle w:val="Texttabulky"/>
            </w:pPr>
            <w:r w:rsidRPr="0020763D">
              <w:t>V1.1.1</w:t>
            </w:r>
          </w:p>
        </w:tc>
        <w:tc>
          <w:tcPr>
            <w:tcW w:w="1353" w:type="dxa"/>
          </w:tcPr>
          <w:p w14:paraId="7C3A4993" w14:textId="77777777" w:rsidR="004776F2" w:rsidRPr="0020763D" w:rsidRDefault="004776F2" w:rsidP="00514E6B">
            <w:pPr>
              <w:pStyle w:val="Texttabulky"/>
            </w:pPr>
            <w:r w:rsidRPr="0020763D">
              <w:t>Leden 2002</w:t>
            </w:r>
          </w:p>
        </w:tc>
        <w:tc>
          <w:tcPr>
            <w:tcW w:w="7215" w:type="dxa"/>
          </w:tcPr>
          <w:p w14:paraId="632596B8" w14:textId="77777777" w:rsidR="004776F2" w:rsidRPr="0020763D" w:rsidRDefault="004776F2" w:rsidP="00514E6B">
            <w:pPr>
              <w:pStyle w:val="Texttabulky"/>
            </w:pPr>
            <w:r w:rsidRPr="0020763D">
              <w:t>Vydání</w:t>
            </w:r>
          </w:p>
        </w:tc>
      </w:tr>
      <w:tr w:rsidR="004776F2" w:rsidRPr="0020763D" w14:paraId="61ECCB7A" w14:textId="77777777" w:rsidTr="00514E6B">
        <w:trPr>
          <w:jc w:val="center"/>
        </w:trPr>
        <w:tc>
          <w:tcPr>
            <w:tcW w:w="1355" w:type="dxa"/>
          </w:tcPr>
          <w:p w14:paraId="7CEAF88D" w14:textId="77777777" w:rsidR="004776F2" w:rsidRPr="0020763D" w:rsidRDefault="004776F2" w:rsidP="00514E6B">
            <w:pPr>
              <w:pStyle w:val="Texttabulky"/>
            </w:pPr>
            <w:r w:rsidRPr="0020763D">
              <w:t>V2.1.1</w:t>
            </w:r>
          </w:p>
        </w:tc>
        <w:tc>
          <w:tcPr>
            <w:tcW w:w="1353" w:type="dxa"/>
          </w:tcPr>
          <w:p w14:paraId="5D4E31C8" w14:textId="77777777" w:rsidR="004776F2" w:rsidRPr="0020763D" w:rsidRDefault="004776F2" w:rsidP="00514E6B">
            <w:pPr>
              <w:pStyle w:val="Texttabulky"/>
            </w:pPr>
            <w:r w:rsidRPr="0020763D">
              <w:t>Leden 2003</w:t>
            </w:r>
          </w:p>
        </w:tc>
        <w:tc>
          <w:tcPr>
            <w:tcW w:w="7215" w:type="dxa"/>
          </w:tcPr>
          <w:p w14:paraId="1BD8A98A" w14:textId="77777777" w:rsidR="004776F2" w:rsidRPr="0020763D" w:rsidRDefault="004776F2" w:rsidP="00514E6B">
            <w:pPr>
              <w:pStyle w:val="Texttabulky"/>
              <w:tabs>
                <w:tab w:val="left" w:pos="3332"/>
              </w:tabs>
            </w:pPr>
            <w:r w:rsidRPr="0020763D">
              <w:t>Veřejné projednání</w:t>
            </w:r>
            <w:r w:rsidRPr="0020763D">
              <w:tab/>
              <w:t>PE 20030516: 2003-01-15 až 2003-05-16</w:t>
            </w:r>
          </w:p>
        </w:tc>
      </w:tr>
      <w:tr w:rsidR="004776F2" w:rsidRPr="0020763D" w14:paraId="46E1E70B" w14:textId="77777777" w:rsidTr="00514E6B">
        <w:trPr>
          <w:jc w:val="center"/>
        </w:trPr>
        <w:tc>
          <w:tcPr>
            <w:tcW w:w="1355" w:type="dxa"/>
          </w:tcPr>
          <w:p w14:paraId="5446F7F0" w14:textId="77777777" w:rsidR="004776F2" w:rsidRPr="0020763D" w:rsidRDefault="004776F2" w:rsidP="00514E6B">
            <w:pPr>
              <w:pStyle w:val="Texttabulky"/>
            </w:pPr>
            <w:r w:rsidRPr="0020763D">
              <w:t>V2.2.1</w:t>
            </w:r>
          </w:p>
        </w:tc>
        <w:tc>
          <w:tcPr>
            <w:tcW w:w="1353" w:type="dxa"/>
          </w:tcPr>
          <w:p w14:paraId="41A28C40" w14:textId="77777777" w:rsidR="004776F2" w:rsidRPr="0020763D" w:rsidRDefault="004776F2" w:rsidP="00514E6B">
            <w:pPr>
              <w:pStyle w:val="Texttabulky"/>
            </w:pPr>
            <w:r w:rsidRPr="0020763D">
              <w:t>Srpen 2003</w:t>
            </w:r>
          </w:p>
        </w:tc>
        <w:tc>
          <w:tcPr>
            <w:tcW w:w="7215" w:type="dxa"/>
          </w:tcPr>
          <w:p w14:paraId="13EB59D4" w14:textId="77777777" w:rsidR="004776F2" w:rsidRPr="0020763D" w:rsidRDefault="004776F2" w:rsidP="00514E6B">
            <w:pPr>
              <w:pStyle w:val="Texttabulky"/>
              <w:tabs>
                <w:tab w:val="left" w:pos="3332"/>
              </w:tabs>
            </w:pPr>
            <w:r w:rsidRPr="0020763D">
              <w:t>Hlasování</w:t>
            </w:r>
            <w:r w:rsidRPr="0020763D">
              <w:tab/>
              <w:t>V 20031003: 2003-08-04 až 2003-10-03</w:t>
            </w:r>
          </w:p>
        </w:tc>
      </w:tr>
      <w:tr w:rsidR="004776F2" w:rsidRPr="0020763D" w14:paraId="6B59A564" w14:textId="77777777" w:rsidTr="00514E6B">
        <w:trPr>
          <w:jc w:val="center"/>
        </w:trPr>
        <w:tc>
          <w:tcPr>
            <w:tcW w:w="1355" w:type="dxa"/>
          </w:tcPr>
          <w:p w14:paraId="63696058" w14:textId="77777777" w:rsidR="004776F2" w:rsidRPr="0020763D" w:rsidRDefault="004776F2" w:rsidP="00514E6B">
            <w:pPr>
              <w:pStyle w:val="Texttabulky"/>
            </w:pPr>
            <w:r w:rsidRPr="0020763D">
              <w:t>V2.2.1</w:t>
            </w:r>
          </w:p>
        </w:tc>
        <w:tc>
          <w:tcPr>
            <w:tcW w:w="1353" w:type="dxa"/>
          </w:tcPr>
          <w:p w14:paraId="5CA1F785" w14:textId="77777777" w:rsidR="004776F2" w:rsidRPr="0020763D" w:rsidRDefault="004776F2" w:rsidP="00514E6B">
            <w:pPr>
              <w:pStyle w:val="Texttabulky"/>
            </w:pPr>
            <w:r w:rsidRPr="0020763D">
              <w:t>Říjen 2003</w:t>
            </w:r>
          </w:p>
        </w:tc>
        <w:tc>
          <w:tcPr>
            <w:tcW w:w="7215" w:type="dxa"/>
          </w:tcPr>
          <w:p w14:paraId="4CA18434" w14:textId="77777777" w:rsidR="004776F2" w:rsidRPr="0020763D" w:rsidRDefault="004776F2" w:rsidP="00514E6B">
            <w:pPr>
              <w:pStyle w:val="Texttabulky"/>
            </w:pPr>
            <w:r w:rsidRPr="0020763D">
              <w:t>Vydání</w:t>
            </w:r>
          </w:p>
        </w:tc>
      </w:tr>
      <w:tr w:rsidR="004776F2" w:rsidRPr="0020763D" w14:paraId="1C41D39F" w14:textId="77777777" w:rsidTr="00514E6B">
        <w:trPr>
          <w:jc w:val="center"/>
        </w:trPr>
        <w:tc>
          <w:tcPr>
            <w:tcW w:w="1355" w:type="dxa"/>
          </w:tcPr>
          <w:p w14:paraId="692AD9BF" w14:textId="77777777" w:rsidR="004776F2" w:rsidRPr="0020763D" w:rsidRDefault="004776F2" w:rsidP="00514E6B">
            <w:pPr>
              <w:pStyle w:val="Texttabulky"/>
            </w:pPr>
          </w:p>
        </w:tc>
        <w:tc>
          <w:tcPr>
            <w:tcW w:w="1353" w:type="dxa"/>
          </w:tcPr>
          <w:p w14:paraId="2BF06E4C" w14:textId="77777777" w:rsidR="004776F2" w:rsidRPr="0020763D" w:rsidRDefault="004776F2" w:rsidP="00514E6B">
            <w:pPr>
              <w:pStyle w:val="Texttabulky"/>
            </w:pPr>
          </w:p>
        </w:tc>
        <w:tc>
          <w:tcPr>
            <w:tcW w:w="7215" w:type="dxa"/>
          </w:tcPr>
          <w:p w14:paraId="41C42164" w14:textId="77777777" w:rsidR="004776F2" w:rsidRPr="0020763D" w:rsidRDefault="004776F2" w:rsidP="00514E6B">
            <w:pPr>
              <w:pStyle w:val="Texttabulky"/>
            </w:pPr>
          </w:p>
        </w:tc>
      </w:tr>
      <w:bookmarkEnd w:id="33"/>
      <w:bookmarkEnd w:id="34"/>
      <w:bookmarkEnd w:id="35"/>
      <w:bookmarkEnd w:id="36"/>
      <w:bookmarkEnd w:id="37"/>
      <w:bookmarkEnd w:id="38"/>
      <w:bookmarkEnd w:id="39"/>
      <w:bookmarkEnd w:id="40"/>
    </w:tbl>
    <w:p w14:paraId="24602985" w14:textId="77777777" w:rsidR="004776F2" w:rsidRPr="00B36E3E" w:rsidRDefault="004776F2" w:rsidP="004776F2">
      <w:pPr>
        <w:pStyle w:val="Textnormy"/>
      </w:pPr>
    </w:p>
    <w:sectPr w:rsidR="004776F2" w:rsidRPr="00B36E3E" w:rsidSect="00AF7E9D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74823" w14:textId="77777777" w:rsidR="00CC1369" w:rsidRDefault="00CC1369">
      <w:r>
        <w:separator/>
      </w:r>
    </w:p>
  </w:endnote>
  <w:endnote w:type="continuationSeparator" w:id="0">
    <w:p w14:paraId="79CCF2B7" w14:textId="77777777" w:rsidR="00CC1369" w:rsidRDefault="00CC1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  <w:embedBold r:id="rId1" w:subsetted="1" w:fontKey="{699670A0-7AAF-481F-81E6-6D1DABD70BF3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90D9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626A1804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E8794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FC42E6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49A8B" w14:textId="10193BF3" w:rsidR="00F34746" w:rsidRPr="00D222EA" w:rsidRDefault="00D222EA" w:rsidP="00D222EA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7D4575A" wp14:editId="707772A3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018718928" name="Obrázek 4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124BDE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1A3A5" w14:textId="77777777" w:rsidR="00E92685" w:rsidRDefault="00710B33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819A5">
      <w:rPr>
        <w:rStyle w:val="slostrnky"/>
        <w:noProof/>
      </w:rPr>
      <w:t>12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5B715" w14:textId="77777777" w:rsidR="00E92685" w:rsidRDefault="00710B33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819A5">
      <w:rPr>
        <w:rStyle w:val="slostrnky"/>
        <w:noProof/>
      </w:rPr>
      <w:t>11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2CF87" w14:textId="77777777" w:rsidR="00CC1369" w:rsidRDefault="00CC1369">
      <w:r>
        <w:separator/>
      </w:r>
    </w:p>
  </w:footnote>
  <w:footnote w:type="continuationSeparator" w:id="0">
    <w:p w14:paraId="0FE398E5" w14:textId="77777777" w:rsidR="00CC1369" w:rsidRDefault="00CC13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AD91B" w14:textId="77777777" w:rsidR="00F34746" w:rsidRDefault="00000000">
    <w:pPr>
      <w:pStyle w:val="Zhlav"/>
    </w:pPr>
    <w:r>
      <w:rPr>
        <w:noProof/>
      </w:rPr>
      <w:pict w14:anchorId="5850C2C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77329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C1A7C" w14:textId="77777777" w:rsidR="00F34746" w:rsidRDefault="00000000">
    <w:pPr>
      <w:pStyle w:val="Zhlav"/>
      <w:jc w:val="right"/>
    </w:pPr>
    <w:r>
      <w:rPr>
        <w:noProof/>
      </w:rPr>
      <w:pict w14:anchorId="2D4D568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77330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9CCC0" w14:textId="77777777" w:rsidR="004776F2" w:rsidRDefault="00000000">
    <w:pPr>
      <w:pStyle w:val="Zhlav"/>
    </w:pPr>
    <w:r>
      <w:rPr>
        <w:noProof/>
      </w:rPr>
      <w:pict w14:anchorId="0AFDBB7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77328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CC880" w14:textId="77777777" w:rsidR="00E92685" w:rsidRPr="00B36E3E" w:rsidRDefault="00000000" w:rsidP="00B36E3E">
    <w:pPr>
      <w:pStyle w:val="Zhlav"/>
    </w:pPr>
    <w:r>
      <w:rPr>
        <w:noProof/>
      </w:rPr>
      <w:pict w14:anchorId="5A4BC51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77332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10B33">
      <w:t>ČSN ETSI EN 301 908-7 V2.2.1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0A0C0" w14:textId="77777777" w:rsidR="00E92685" w:rsidRPr="007D71AA" w:rsidRDefault="00000000" w:rsidP="007D71AA">
    <w:pPr>
      <w:pStyle w:val="Zhlav"/>
      <w:jc w:val="right"/>
    </w:pPr>
    <w:r>
      <w:rPr>
        <w:noProof/>
      </w:rPr>
      <w:pict w14:anchorId="27D456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77333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10B33">
      <w:t>ČSN ETSI EN 301 908-7 V2.2.1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5D49B" w14:textId="77777777" w:rsidR="00E92685" w:rsidRDefault="00000000">
    <w:pPr>
      <w:pStyle w:val="Zhlav"/>
    </w:pPr>
    <w:r>
      <w:rPr>
        <w:noProof/>
      </w:rPr>
      <w:pict w14:anchorId="180081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577331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1447318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3618C8"/>
    <w:multiLevelType w:val="hybridMultilevel"/>
    <w:tmpl w:val="C1240866"/>
    <w:lvl w:ilvl="0" w:tplc="7A00C284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540095C"/>
    <w:multiLevelType w:val="hybridMultilevel"/>
    <w:tmpl w:val="2E94714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363363040">
    <w:abstractNumId w:val="18"/>
  </w:num>
  <w:num w:numId="2" w16cid:durableId="1125391249">
    <w:abstractNumId w:val="14"/>
  </w:num>
  <w:num w:numId="3" w16cid:durableId="1012301617">
    <w:abstractNumId w:val="15"/>
  </w:num>
  <w:num w:numId="4" w16cid:durableId="1178348857">
    <w:abstractNumId w:val="9"/>
  </w:num>
  <w:num w:numId="5" w16cid:durableId="1302154387">
    <w:abstractNumId w:val="10"/>
  </w:num>
  <w:num w:numId="6" w16cid:durableId="1492981845">
    <w:abstractNumId w:val="23"/>
    <w:lvlOverride w:ilvl="0">
      <w:startOverride w:val="1"/>
    </w:lvlOverride>
  </w:num>
  <w:num w:numId="7" w16cid:durableId="712466341">
    <w:abstractNumId w:val="11"/>
  </w:num>
  <w:num w:numId="8" w16cid:durableId="1701929545">
    <w:abstractNumId w:val="17"/>
  </w:num>
  <w:num w:numId="9" w16cid:durableId="1728454152">
    <w:abstractNumId w:val="22"/>
  </w:num>
  <w:num w:numId="10" w16cid:durableId="664169445">
    <w:abstractNumId w:val="20"/>
  </w:num>
  <w:num w:numId="11" w16cid:durableId="371921483">
    <w:abstractNumId w:val="16"/>
  </w:num>
  <w:num w:numId="12" w16cid:durableId="1328440818">
    <w:abstractNumId w:val="10"/>
    <w:lvlOverride w:ilvl="0">
      <w:startOverride w:val="1"/>
    </w:lvlOverride>
  </w:num>
  <w:num w:numId="13" w16cid:durableId="118650047">
    <w:abstractNumId w:val="23"/>
  </w:num>
  <w:num w:numId="14" w16cid:durableId="1517769145">
    <w:abstractNumId w:val="13"/>
  </w:num>
  <w:num w:numId="15" w16cid:durableId="2064324660">
    <w:abstractNumId w:val="12"/>
  </w:num>
  <w:num w:numId="16" w16cid:durableId="847017106">
    <w:abstractNumId w:val="0"/>
  </w:num>
  <w:num w:numId="17" w16cid:durableId="1204442027">
    <w:abstractNumId w:val="1"/>
  </w:num>
  <w:num w:numId="18" w16cid:durableId="420419222">
    <w:abstractNumId w:val="3"/>
  </w:num>
  <w:num w:numId="19" w16cid:durableId="1186359469">
    <w:abstractNumId w:val="2"/>
  </w:num>
  <w:num w:numId="20" w16cid:durableId="165871699">
    <w:abstractNumId w:val="8"/>
  </w:num>
  <w:num w:numId="21" w16cid:durableId="78913064">
    <w:abstractNumId w:val="7"/>
  </w:num>
  <w:num w:numId="22" w16cid:durableId="1634360830">
    <w:abstractNumId w:val="6"/>
  </w:num>
  <w:num w:numId="23" w16cid:durableId="1003973409">
    <w:abstractNumId w:val="5"/>
  </w:num>
  <w:num w:numId="24" w16cid:durableId="1264649132">
    <w:abstractNumId w:val="4"/>
  </w:num>
  <w:num w:numId="25" w16cid:durableId="173962252">
    <w:abstractNumId w:val="19"/>
  </w:num>
  <w:num w:numId="26" w16cid:durableId="1580678105">
    <w:abstractNumId w:val="2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6F2"/>
    <w:rsid w:val="00061B63"/>
    <w:rsid w:val="000653E7"/>
    <w:rsid w:val="000B795C"/>
    <w:rsid w:val="000D22A5"/>
    <w:rsid w:val="000D7198"/>
    <w:rsid w:val="000D7CC4"/>
    <w:rsid w:val="00103F06"/>
    <w:rsid w:val="00104C1B"/>
    <w:rsid w:val="00115244"/>
    <w:rsid w:val="00124BDE"/>
    <w:rsid w:val="0013039D"/>
    <w:rsid w:val="00135415"/>
    <w:rsid w:val="001567EF"/>
    <w:rsid w:val="001777F1"/>
    <w:rsid w:val="00184C4B"/>
    <w:rsid w:val="00194A2B"/>
    <w:rsid w:val="001B1B5E"/>
    <w:rsid w:val="001B63E7"/>
    <w:rsid w:val="001C63DC"/>
    <w:rsid w:val="001E761D"/>
    <w:rsid w:val="00210AAE"/>
    <w:rsid w:val="00231D91"/>
    <w:rsid w:val="00240BBB"/>
    <w:rsid w:val="0028489E"/>
    <w:rsid w:val="002A260F"/>
    <w:rsid w:val="002B25EE"/>
    <w:rsid w:val="002D43DF"/>
    <w:rsid w:val="002E1445"/>
    <w:rsid w:val="002F172D"/>
    <w:rsid w:val="002F6A9A"/>
    <w:rsid w:val="00314F2D"/>
    <w:rsid w:val="003160B7"/>
    <w:rsid w:val="003318B1"/>
    <w:rsid w:val="00342659"/>
    <w:rsid w:val="00346631"/>
    <w:rsid w:val="003609B4"/>
    <w:rsid w:val="0038646B"/>
    <w:rsid w:val="003C5EB2"/>
    <w:rsid w:val="00405984"/>
    <w:rsid w:val="004069CB"/>
    <w:rsid w:val="00412B3C"/>
    <w:rsid w:val="00412CB3"/>
    <w:rsid w:val="00445C34"/>
    <w:rsid w:val="00456D07"/>
    <w:rsid w:val="00473C89"/>
    <w:rsid w:val="004761B1"/>
    <w:rsid w:val="004776F2"/>
    <w:rsid w:val="0048550A"/>
    <w:rsid w:val="004A57BF"/>
    <w:rsid w:val="004B223B"/>
    <w:rsid w:val="004C5D55"/>
    <w:rsid w:val="004D39AA"/>
    <w:rsid w:val="00503D98"/>
    <w:rsid w:val="005065E1"/>
    <w:rsid w:val="0053105E"/>
    <w:rsid w:val="0055192B"/>
    <w:rsid w:val="00554FB3"/>
    <w:rsid w:val="00576ED5"/>
    <w:rsid w:val="0058116D"/>
    <w:rsid w:val="005934FE"/>
    <w:rsid w:val="005B14BA"/>
    <w:rsid w:val="005D5770"/>
    <w:rsid w:val="005E3B21"/>
    <w:rsid w:val="005E6EAE"/>
    <w:rsid w:val="00613E86"/>
    <w:rsid w:val="00635CB6"/>
    <w:rsid w:val="00666666"/>
    <w:rsid w:val="006A3382"/>
    <w:rsid w:val="006B04C9"/>
    <w:rsid w:val="006D2485"/>
    <w:rsid w:val="006D69F9"/>
    <w:rsid w:val="006E2952"/>
    <w:rsid w:val="00710B33"/>
    <w:rsid w:val="00734D06"/>
    <w:rsid w:val="007404D5"/>
    <w:rsid w:val="007C4D6D"/>
    <w:rsid w:val="007D7DC9"/>
    <w:rsid w:val="007E23F0"/>
    <w:rsid w:val="007F27A2"/>
    <w:rsid w:val="007F556B"/>
    <w:rsid w:val="008072A3"/>
    <w:rsid w:val="00814F9F"/>
    <w:rsid w:val="00831B2F"/>
    <w:rsid w:val="00844026"/>
    <w:rsid w:val="008638F1"/>
    <w:rsid w:val="00866372"/>
    <w:rsid w:val="00867FC2"/>
    <w:rsid w:val="00872046"/>
    <w:rsid w:val="008819A5"/>
    <w:rsid w:val="00887B78"/>
    <w:rsid w:val="008A04E8"/>
    <w:rsid w:val="008A7D3C"/>
    <w:rsid w:val="008C03BC"/>
    <w:rsid w:val="008C241C"/>
    <w:rsid w:val="008C404B"/>
    <w:rsid w:val="008F0BC9"/>
    <w:rsid w:val="008F4369"/>
    <w:rsid w:val="008F51B6"/>
    <w:rsid w:val="0090499A"/>
    <w:rsid w:val="009211B9"/>
    <w:rsid w:val="00923E20"/>
    <w:rsid w:val="0093110D"/>
    <w:rsid w:val="00931FE4"/>
    <w:rsid w:val="00943941"/>
    <w:rsid w:val="00950B2B"/>
    <w:rsid w:val="0095314E"/>
    <w:rsid w:val="00970283"/>
    <w:rsid w:val="009B2AE6"/>
    <w:rsid w:val="009C6273"/>
    <w:rsid w:val="009D33A8"/>
    <w:rsid w:val="009F2E2E"/>
    <w:rsid w:val="00A12852"/>
    <w:rsid w:val="00A23B99"/>
    <w:rsid w:val="00A3019F"/>
    <w:rsid w:val="00A50412"/>
    <w:rsid w:val="00A7354D"/>
    <w:rsid w:val="00A83EAB"/>
    <w:rsid w:val="00A848B2"/>
    <w:rsid w:val="00A85A19"/>
    <w:rsid w:val="00A90C34"/>
    <w:rsid w:val="00AA423E"/>
    <w:rsid w:val="00AB04F4"/>
    <w:rsid w:val="00AB15EC"/>
    <w:rsid w:val="00AD08D6"/>
    <w:rsid w:val="00AD248F"/>
    <w:rsid w:val="00AD3E68"/>
    <w:rsid w:val="00AD78A6"/>
    <w:rsid w:val="00B06739"/>
    <w:rsid w:val="00B30AC3"/>
    <w:rsid w:val="00B4522D"/>
    <w:rsid w:val="00BB7770"/>
    <w:rsid w:val="00BC1FDE"/>
    <w:rsid w:val="00BE5D87"/>
    <w:rsid w:val="00C02CD7"/>
    <w:rsid w:val="00C2107C"/>
    <w:rsid w:val="00C43BC8"/>
    <w:rsid w:val="00C444B9"/>
    <w:rsid w:val="00C66DE4"/>
    <w:rsid w:val="00C71638"/>
    <w:rsid w:val="00C7424D"/>
    <w:rsid w:val="00C8771C"/>
    <w:rsid w:val="00C904AB"/>
    <w:rsid w:val="00C95826"/>
    <w:rsid w:val="00CC1369"/>
    <w:rsid w:val="00CC2337"/>
    <w:rsid w:val="00CD4B2D"/>
    <w:rsid w:val="00CE1C7D"/>
    <w:rsid w:val="00CF01C8"/>
    <w:rsid w:val="00D222EA"/>
    <w:rsid w:val="00D32233"/>
    <w:rsid w:val="00D53D67"/>
    <w:rsid w:val="00D54402"/>
    <w:rsid w:val="00D64213"/>
    <w:rsid w:val="00D73A46"/>
    <w:rsid w:val="00D85849"/>
    <w:rsid w:val="00D93906"/>
    <w:rsid w:val="00DA1989"/>
    <w:rsid w:val="00DE2529"/>
    <w:rsid w:val="00DE412B"/>
    <w:rsid w:val="00DF36E1"/>
    <w:rsid w:val="00E20EEC"/>
    <w:rsid w:val="00E22981"/>
    <w:rsid w:val="00E54908"/>
    <w:rsid w:val="00E92685"/>
    <w:rsid w:val="00EB1FEE"/>
    <w:rsid w:val="00F27CD0"/>
    <w:rsid w:val="00F34746"/>
    <w:rsid w:val="00F415E7"/>
    <w:rsid w:val="00F7422F"/>
    <w:rsid w:val="00F74691"/>
    <w:rsid w:val="00F86E36"/>
    <w:rsid w:val="00F97386"/>
    <w:rsid w:val="00FA2265"/>
    <w:rsid w:val="00FC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1EBE2ED5"/>
  <w15:chartTrackingRefBased/>
  <w15:docId w15:val="{844017F3-9FBE-4264-8784-2CDC0C59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761B1"/>
  </w:style>
  <w:style w:type="paragraph" w:styleId="Nadpis1">
    <w:name w:val="heading 1"/>
    <w:basedOn w:val="Nadpiskapitoly"/>
    <w:next w:val="Textnormy"/>
    <w:link w:val="Nadpis1Char"/>
    <w:qFormat/>
    <w:rsid w:val="004761B1"/>
    <w:pPr>
      <w:outlineLvl w:val="0"/>
    </w:pPr>
  </w:style>
  <w:style w:type="paragraph" w:styleId="Nadpis2">
    <w:name w:val="heading 2"/>
    <w:basedOn w:val="Nadpislnku"/>
    <w:next w:val="Textnormy"/>
    <w:qFormat/>
    <w:rsid w:val="004761B1"/>
    <w:pPr>
      <w:outlineLvl w:val="1"/>
    </w:pPr>
  </w:style>
  <w:style w:type="paragraph" w:styleId="Nadpis3">
    <w:name w:val="heading 3"/>
    <w:basedOn w:val="Nadpislnku"/>
    <w:next w:val="Textnormy"/>
    <w:qFormat/>
    <w:rsid w:val="004761B1"/>
    <w:pPr>
      <w:outlineLvl w:val="2"/>
    </w:pPr>
  </w:style>
  <w:style w:type="paragraph" w:styleId="Nadpis4">
    <w:name w:val="heading 4"/>
    <w:basedOn w:val="Nadpislnku"/>
    <w:next w:val="Textnormy"/>
    <w:qFormat/>
    <w:rsid w:val="004761B1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761B1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761B1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761B1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761B1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761B1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4761B1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4761B1"/>
  </w:style>
  <w:style w:type="paragraph" w:customStyle="1" w:styleId="Nadpiskapitoly">
    <w:name w:val="Nadpis kapitoly"/>
    <w:basedOn w:val="Nadpislnku"/>
    <w:next w:val="Textnormy"/>
    <w:rsid w:val="004761B1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4761B1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761B1"/>
    <w:pPr>
      <w:spacing w:after="120"/>
      <w:jc w:val="both"/>
    </w:pPr>
  </w:style>
  <w:style w:type="paragraph" w:customStyle="1" w:styleId="1StrTrZn">
    <w:name w:val="1StrTrZn"/>
    <w:basedOn w:val="Textnormy"/>
    <w:rsid w:val="004761B1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761B1"/>
    <w:pPr>
      <w:spacing w:before="480"/>
    </w:pPr>
  </w:style>
  <w:style w:type="paragraph" w:customStyle="1" w:styleId="1StrNN-1-23">
    <w:name w:val="1StrNN-1-23"/>
    <w:basedOn w:val="Textnormy"/>
    <w:rsid w:val="004761B1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4761B1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761B1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4761B1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761B1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761B1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4761B1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761B1"/>
    <w:pPr>
      <w:spacing w:before="0" w:after="120"/>
      <w:ind w:left="284" w:hanging="284"/>
    </w:pPr>
  </w:style>
  <w:style w:type="paragraph" w:styleId="Zhlav">
    <w:name w:val="header"/>
    <w:basedOn w:val="Textnormy"/>
    <w:rsid w:val="004761B1"/>
    <w:pPr>
      <w:spacing w:after="360"/>
    </w:pPr>
    <w:rPr>
      <w:sz w:val="18"/>
    </w:rPr>
  </w:style>
  <w:style w:type="paragraph" w:styleId="Zpat">
    <w:name w:val="footer"/>
    <w:basedOn w:val="Textnormy"/>
    <w:rsid w:val="004761B1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761B1"/>
    <w:pPr>
      <w:spacing w:after="120"/>
    </w:pPr>
  </w:style>
  <w:style w:type="paragraph" w:styleId="Obsah2">
    <w:name w:val="toc 2"/>
    <w:basedOn w:val="Obsah1"/>
    <w:next w:val="Textnormy"/>
    <w:uiPriority w:val="39"/>
    <w:rsid w:val="004761B1"/>
  </w:style>
  <w:style w:type="paragraph" w:styleId="Obsah1">
    <w:name w:val="toc 1"/>
    <w:basedOn w:val="Textnormy"/>
    <w:next w:val="Textnormy"/>
    <w:uiPriority w:val="39"/>
    <w:rsid w:val="004761B1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4761B1"/>
    <w:pPr>
      <w:numPr>
        <w:numId w:val="7"/>
      </w:numPr>
    </w:pPr>
  </w:style>
  <w:style w:type="paragraph" w:styleId="Obsah3">
    <w:name w:val="toc 3"/>
    <w:basedOn w:val="Obsah1"/>
    <w:next w:val="Textnormy"/>
    <w:rsid w:val="004761B1"/>
  </w:style>
  <w:style w:type="paragraph" w:styleId="Obsah4">
    <w:name w:val="toc 4"/>
    <w:basedOn w:val="Obsah1"/>
    <w:next w:val="Textnormy"/>
    <w:uiPriority w:val="39"/>
    <w:rsid w:val="004761B1"/>
  </w:style>
  <w:style w:type="paragraph" w:styleId="Obsah6">
    <w:name w:val="toc 6"/>
    <w:basedOn w:val="Obsah1"/>
    <w:next w:val="Textnormy"/>
    <w:rsid w:val="004761B1"/>
  </w:style>
  <w:style w:type="paragraph" w:styleId="Obsah7">
    <w:name w:val="toc 7"/>
    <w:basedOn w:val="Obsah1"/>
    <w:next w:val="Textnormy"/>
    <w:semiHidden/>
    <w:rsid w:val="004761B1"/>
  </w:style>
  <w:style w:type="paragraph" w:styleId="Obsah8">
    <w:name w:val="toc 8"/>
    <w:basedOn w:val="Obsah1"/>
    <w:next w:val="Textnormy"/>
    <w:semiHidden/>
    <w:rsid w:val="004761B1"/>
  </w:style>
  <w:style w:type="character" w:styleId="Znakapoznpodarou">
    <w:name w:val="footnote reference"/>
    <w:basedOn w:val="Standardnpsmoodstavce"/>
    <w:rsid w:val="004761B1"/>
    <w:rPr>
      <w:vertAlign w:val="superscript"/>
    </w:rPr>
  </w:style>
  <w:style w:type="paragraph" w:customStyle="1" w:styleId="ABCseznamCZ">
    <w:name w:val="ABC seznamCZ"/>
    <w:basedOn w:val="Textnormy"/>
    <w:rsid w:val="004761B1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4761B1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4761B1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4761B1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5934FE"/>
    <w:pPr>
      <w:keepNext w:val="0"/>
      <w:jc w:val="center"/>
    </w:pPr>
  </w:style>
  <w:style w:type="paragraph" w:customStyle="1" w:styleId="Abecednseznam">
    <w:name w:val="Abecední seznam"/>
    <w:basedOn w:val="Textnormy"/>
    <w:rsid w:val="004761B1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4761B1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4761B1"/>
    <w:pPr>
      <w:ind w:left="1600"/>
    </w:pPr>
  </w:style>
  <w:style w:type="paragraph" w:customStyle="1" w:styleId="1Str1Rad">
    <w:name w:val="1Str1Rad"/>
    <w:basedOn w:val="Textnormy"/>
    <w:rsid w:val="004761B1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761B1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4761B1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4761B1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761B1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4761B1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4761B1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761B1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761B1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761B1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761B1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4761B1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4761B1"/>
    <w:pPr>
      <w:spacing w:before="300"/>
    </w:pPr>
  </w:style>
  <w:style w:type="paragraph" w:customStyle="1" w:styleId="1StrNN-X">
    <w:name w:val="1StrNN-X"/>
    <w:basedOn w:val="1StrNN-1-23"/>
    <w:rsid w:val="004761B1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4761B1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4761B1"/>
    <w:pPr>
      <w:spacing w:before="800"/>
    </w:pPr>
  </w:style>
  <w:style w:type="paragraph" w:customStyle="1" w:styleId="1StrNN-2-4">
    <w:name w:val="1StrNN-2-4"/>
    <w:basedOn w:val="1StrNN-1-23"/>
    <w:rsid w:val="004761B1"/>
  </w:style>
  <w:style w:type="paragraph" w:customStyle="1" w:styleId="1StrNN-3-4">
    <w:name w:val="1StrNN-3-4"/>
    <w:basedOn w:val="1StrNN-1-23"/>
    <w:rsid w:val="004761B1"/>
    <w:pPr>
      <w:spacing w:before="460"/>
    </w:pPr>
  </w:style>
  <w:style w:type="paragraph" w:customStyle="1" w:styleId="1StrNN-4-4">
    <w:name w:val="1StrNN-4-4"/>
    <w:basedOn w:val="1StrNN-1-23"/>
    <w:rsid w:val="004761B1"/>
    <w:pPr>
      <w:spacing w:before="340"/>
    </w:pPr>
  </w:style>
  <w:style w:type="paragraph" w:customStyle="1" w:styleId="ABCSeznamUS">
    <w:name w:val="ABC SeznamUS"/>
    <w:basedOn w:val="Textnormy"/>
    <w:rsid w:val="004761B1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4761B1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4761B1"/>
    <w:pPr>
      <w:jc w:val="left"/>
    </w:pPr>
  </w:style>
  <w:style w:type="paragraph" w:customStyle="1" w:styleId="1StrNN-4-3">
    <w:name w:val="1StrNN-4-3"/>
    <w:basedOn w:val="1StrNN-1-23"/>
    <w:rsid w:val="004761B1"/>
    <w:pPr>
      <w:spacing w:before="160"/>
    </w:pPr>
  </w:style>
  <w:style w:type="paragraph" w:customStyle="1" w:styleId="Upozornn">
    <w:name w:val="Upozornění"/>
    <w:basedOn w:val="Normln"/>
    <w:rsid w:val="004761B1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4761B1"/>
  </w:style>
  <w:style w:type="character" w:styleId="Hypertextovodkaz">
    <w:name w:val="Hyperlink"/>
    <w:unhideWhenUsed/>
    <w:rsid w:val="004761B1"/>
    <w:rPr>
      <w:color w:val="0000FF"/>
      <w:u w:val="single"/>
    </w:rPr>
  </w:style>
  <w:style w:type="table" w:styleId="Mkatabulky">
    <w:name w:val="Table Grid"/>
    <w:basedOn w:val="Normlntabulka"/>
    <w:rsid w:val="00476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761B1"/>
    <w:rPr>
      <w:b/>
      <w:sz w:val="24"/>
    </w:rPr>
  </w:style>
  <w:style w:type="character" w:styleId="Odkaznakoment">
    <w:name w:val="annotation reference"/>
    <w:basedOn w:val="Standardnpsmoodstavce"/>
    <w:unhideWhenUsed/>
    <w:rsid w:val="004761B1"/>
    <w:rPr>
      <w:sz w:val="16"/>
      <w:szCs w:val="16"/>
    </w:rPr>
  </w:style>
  <w:style w:type="paragraph" w:styleId="Textbubliny">
    <w:name w:val="Balloon Text"/>
    <w:basedOn w:val="Normln"/>
    <w:link w:val="TextbublinyChar"/>
    <w:rsid w:val="004761B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4761B1"/>
  </w:style>
  <w:style w:type="character" w:customStyle="1" w:styleId="TextkomenteChar">
    <w:name w:val="Text komentáře Char"/>
    <w:basedOn w:val="Standardnpsmoodstavce"/>
    <w:link w:val="Textkomente"/>
    <w:rsid w:val="004761B1"/>
  </w:style>
  <w:style w:type="character" w:customStyle="1" w:styleId="TextnormyCharChar">
    <w:name w:val="Text normy Char Char"/>
    <w:semiHidden/>
    <w:rsid w:val="004761B1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761B1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761B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761B1"/>
    <w:rPr>
      <w:b/>
      <w:bCs/>
    </w:rPr>
  </w:style>
  <w:style w:type="character" w:customStyle="1" w:styleId="NadpislnkuChar">
    <w:name w:val="Nadpis článku Char"/>
    <w:link w:val="Nadpislnku"/>
    <w:rsid w:val="004761B1"/>
    <w:rPr>
      <w:b/>
    </w:rPr>
  </w:style>
  <w:style w:type="character" w:styleId="Sledovanodkaz">
    <w:name w:val="FollowedHyperlink"/>
    <w:basedOn w:val="Standardnpsmoodstavce"/>
    <w:semiHidden/>
    <w:unhideWhenUsed/>
    <w:rsid w:val="004761B1"/>
    <w:rPr>
      <w:color w:val="954F72" w:themeColor="followedHyperlink"/>
      <w:u w:val="single"/>
    </w:rPr>
  </w:style>
  <w:style w:type="paragraph" w:customStyle="1" w:styleId="ETSI-2str">
    <w:name w:val="ETSI-2str"/>
    <w:rsid w:val="004776F2"/>
    <w:pPr>
      <w:jc w:val="center"/>
    </w:pPr>
    <w:rPr>
      <w:noProof/>
      <w:sz w:val="18"/>
    </w:rPr>
  </w:style>
  <w:style w:type="paragraph" w:customStyle="1" w:styleId="ETSI-2str-Linka">
    <w:name w:val="ETSI-2str-Linka"/>
    <w:basedOn w:val="ETSI-2str"/>
    <w:rsid w:val="004776F2"/>
    <w:pPr>
      <w:pBdr>
        <w:bottom w:val="single" w:sz="6" w:space="1" w:color="auto"/>
      </w:pBdr>
      <w:ind w:left="2552" w:right="2552"/>
    </w:pPr>
  </w:style>
  <w:style w:type="character" w:customStyle="1" w:styleId="ZGSM">
    <w:name w:val="ZGSM"/>
    <w:rsid w:val="004776F2"/>
  </w:style>
  <w:style w:type="paragraph" w:customStyle="1" w:styleId="ZA">
    <w:name w:val="ZA"/>
    <w:rsid w:val="004776F2"/>
    <w:pPr>
      <w:framePr w:w="10206" w:h="794" w:hRule="exact" w:wrap="notBeside" w:vAnchor="page" w:hAnchor="margin" w:y="1135"/>
      <w:widowControl w:val="0"/>
      <w:pBdr>
        <w:bottom w:val="single" w:sz="12" w:space="1" w:color="auto"/>
      </w:pBdr>
      <w:overflowPunct w:val="0"/>
      <w:autoSpaceDE w:val="0"/>
      <w:autoSpaceDN w:val="0"/>
      <w:adjustRightInd w:val="0"/>
      <w:jc w:val="right"/>
      <w:textAlignment w:val="baseline"/>
    </w:pPr>
    <w:rPr>
      <w:noProof/>
      <w:sz w:val="40"/>
      <w:lang w:val="en-GB" w:eastAsia="en-US"/>
    </w:rPr>
  </w:style>
  <w:style w:type="paragraph" w:customStyle="1" w:styleId="ZT">
    <w:name w:val="ZT"/>
    <w:rsid w:val="004776F2"/>
    <w:pPr>
      <w:framePr w:wrap="notBeside" w:hAnchor="margin" w:yAlign="center"/>
      <w:widowControl w:val="0"/>
      <w:overflowPunct w:val="0"/>
      <w:autoSpaceDE w:val="0"/>
      <w:autoSpaceDN w:val="0"/>
      <w:adjustRightInd w:val="0"/>
      <w:spacing w:line="240" w:lineRule="atLeast"/>
      <w:jc w:val="right"/>
      <w:textAlignment w:val="baseline"/>
    </w:pPr>
    <w:rPr>
      <w:b/>
      <w:sz w:val="34"/>
      <w:lang w:val="en-GB" w:eastAsia="en-US"/>
    </w:rPr>
  </w:style>
  <w:style w:type="paragraph" w:customStyle="1" w:styleId="ZB">
    <w:name w:val="ZB"/>
    <w:rsid w:val="004776F2"/>
    <w:pPr>
      <w:framePr w:w="10206" w:h="284" w:hRule="exact" w:wrap="notBeside" w:vAnchor="page" w:hAnchor="margin" w:y="1986"/>
      <w:widowControl w:val="0"/>
      <w:overflowPunct w:val="0"/>
      <w:autoSpaceDE w:val="0"/>
      <w:autoSpaceDN w:val="0"/>
      <w:adjustRightInd w:val="0"/>
      <w:ind w:right="28"/>
      <w:jc w:val="right"/>
      <w:textAlignment w:val="baseline"/>
    </w:pPr>
    <w:rPr>
      <w:i/>
      <w:noProof/>
      <w:lang w:val="en-GB" w:eastAsia="en-US"/>
    </w:rPr>
  </w:style>
  <w:style w:type="paragraph" w:styleId="Revize">
    <w:name w:val="Revision"/>
    <w:hidden/>
    <w:uiPriority w:val="99"/>
    <w:semiHidden/>
    <w:rsid w:val="00D32233"/>
  </w:style>
  <w:style w:type="paragraph" w:customStyle="1" w:styleId="NadpisObr">
    <w:name w:val="NadpisObr"/>
    <w:basedOn w:val="Nadpis4"/>
    <w:next w:val="Textnormy"/>
    <w:qFormat/>
    <w:rsid w:val="004761B1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761B1"/>
    <w:pPr>
      <w:jc w:val="center"/>
    </w:pPr>
  </w:style>
  <w:style w:type="character" w:styleId="Nevyeenzmnka">
    <w:name w:val="Unresolved Mention"/>
    <w:basedOn w:val="Standardnpsmoodstavce"/>
    <w:uiPriority w:val="99"/>
    <w:semiHidden/>
    <w:unhideWhenUsed/>
    <w:rsid w:val="009C6273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4761B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www.etsi.org/standards/coordinated-vulnerability-disclosure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portal.etsi.org/People/CommiteeSupportStaff.aspx" TargetMode="Externa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23" Type="http://schemas.openxmlformats.org/officeDocument/2006/relationships/header" Target="header6.xml"/><Relationship Id="rId10" Type="http://schemas.openxmlformats.org/officeDocument/2006/relationships/footer" Target="foot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footer" Target="footer5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5</TotalTime>
  <Pages>12</Pages>
  <Words>2869</Words>
  <Characters>16932</Characters>
  <Application>Microsoft Office Word</Application>
  <DocSecurity>0</DocSecurity>
  <Lines>141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19762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9</cp:revision>
  <cp:lastPrinted>2004-12-14T08:45:00Z</cp:lastPrinted>
  <dcterms:created xsi:type="dcterms:W3CDTF">2024-08-19T07:18:00Z</dcterms:created>
  <dcterms:modified xsi:type="dcterms:W3CDTF">2025-02-04T08:23:00Z</dcterms:modified>
</cp:coreProperties>
</file>