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6ABB6"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4584E1A9" wp14:editId="15D1E9B6">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84993A0"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381655E3" w14:textId="77777777" w:rsidR="00A83EAB" w:rsidRDefault="00A83EAB">
      <w:pPr>
        <w:pStyle w:val="1Str1Rad"/>
        <w:spacing w:after="60"/>
        <w:rPr>
          <w:b/>
        </w:rPr>
      </w:pPr>
      <w:r>
        <w:rPr>
          <w:sz w:val="16"/>
        </w:rPr>
        <w:t xml:space="preserve">ICS </w:t>
      </w:r>
      <w:r w:rsidR="006357A2" w:rsidRPr="00484A0F">
        <w:rPr>
          <w:sz w:val="16"/>
        </w:rPr>
        <w:t>29.160.30</w:t>
      </w:r>
      <w:r>
        <w:tab/>
      </w:r>
      <w:r>
        <w:tab/>
      </w:r>
      <w:r>
        <w:rPr>
          <w:b/>
        </w:rPr>
        <w:t xml:space="preserve">Měsíc </w:t>
      </w:r>
      <w:r w:rsidR="006357A2">
        <w:rPr>
          <w:b/>
        </w:rPr>
        <w:t>Rok</w:t>
      </w:r>
    </w:p>
    <w:tbl>
      <w:tblPr>
        <w:tblW w:w="9923" w:type="dxa"/>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6663"/>
        <w:gridCol w:w="3260"/>
      </w:tblGrid>
      <w:tr w:rsidR="00A83EAB" w14:paraId="1E8006D6" w14:textId="77777777" w:rsidTr="006357A2">
        <w:trPr>
          <w:cantSplit/>
          <w:trHeight w:val="1701"/>
        </w:trPr>
        <w:tc>
          <w:tcPr>
            <w:tcW w:w="6663" w:type="dxa"/>
          </w:tcPr>
          <w:p w14:paraId="4BE9A72D" w14:textId="77777777" w:rsidR="00A83EAB" w:rsidRDefault="006357A2" w:rsidP="006357A2">
            <w:pPr>
              <w:pStyle w:val="1StrNN-3-23"/>
            </w:pPr>
            <w:r w:rsidRPr="00484A0F">
              <w:t>Točivé elektrické stroje –</w:t>
            </w:r>
            <w:r w:rsidRPr="00484A0F">
              <w:br/>
              <w:t>Část 17: Asynchronní motory nakrátko napájené z měničů – Pokyn pro používání</w:t>
            </w:r>
          </w:p>
        </w:tc>
        <w:tc>
          <w:tcPr>
            <w:tcW w:w="3260" w:type="dxa"/>
          </w:tcPr>
          <w:p w14:paraId="5DBF4EA6" w14:textId="77777777" w:rsidR="00A83EAB" w:rsidRDefault="006357A2">
            <w:pPr>
              <w:pStyle w:val="1StrCN"/>
              <w:rPr>
                <w:b w:val="0"/>
                <w:sz w:val="28"/>
              </w:rPr>
            </w:pPr>
            <w:r w:rsidRPr="00484A0F">
              <w:t>ČSN</w:t>
            </w:r>
            <w:r w:rsidRPr="00484A0F">
              <w:br/>
              <w:t>CLC</w:t>
            </w:r>
            <w:r>
              <w:t xml:space="preserve"> IEC</w:t>
            </w:r>
            <w:r w:rsidRPr="00484A0F">
              <w:t>/TS 60034-17</w:t>
            </w:r>
            <w:r w:rsidR="00A83EAB">
              <w:br/>
            </w:r>
          </w:p>
          <w:p w14:paraId="0F392653" w14:textId="77777777" w:rsidR="00A83EAB" w:rsidRDefault="006357A2">
            <w:pPr>
              <w:pStyle w:val="1StrTrZn"/>
            </w:pPr>
            <w:r w:rsidRPr="00484A0F">
              <w:t>35 0000</w:t>
            </w:r>
          </w:p>
        </w:tc>
      </w:tr>
    </w:tbl>
    <w:p w14:paraId="3092FA90" w14:textId="77777777" w:rsidR="00A83EAB" w:rsidRDefault="006357A2">
      <w:pPr>
        <w:pStyle w:val="Shodnost"/>
      </w:pPr>
      <w:r w:rsidRPr="00484A0F">
        <w:t>idt IEC/TS 60034-17:2002 + IEC/TS 60034-17:2002/</w:t>
      </w:r>
      <w:r>
        <w:t>COR</w:t>
      </w:r>
      <w:r w:rsidRPr="00484A0F">
        <w:t>1:2002-06</w:t>
      </w:r>
      <w:r w:rsidRPr="00484A0F">
        <w:br/>
      </w:r>
      <w:r w:rsidRPr="00484A0F">
        <w:tab/>
        <w:t>+ IEC/TS 60034-17:2002/</w:t>
      </w:r>
      <w:r>
        <w:t>COR</w:t>
      </w:r>
      <w:r w:rsidRPr="00484A0F">
        <w:t>2:2003-04</w:t>
      </w:r>
    </w:p>
    <w:p w14:paraId="11A33058" w14:textId="77777777" w:rsidR="006357A2" w:rsidRPr="00484A0F" w:rsidRDefault="006357A2" w:rsidP="006357A2">
      <w:pPr>
        <w:pStyle w:val="Cizojazynnzev"/>
        <w:rPr>
          <w:lang w:val="en-US"/>
        </w:rPr>
      </w:pPr>
      <w:r w:rsidRPr="00484A0F">
        <w:rPr>
          <w:lang w:val="en-US"/>
        </w:rPr>
        <w:t>Rotating electrical machines –</w:t>
      </w:r>
      <w:r w:rsidRPr="00484A0F">
        <w:rPr>
          <w:lang w:val="en-US"/>
        </w:rPr>
        <w:br/>
        <w:t>Part 17: Cage induction motors when fed from converters – Application guide</w:t>
      </w:r>
    </w:p>
    <w:p w14:paraId="3C826521" w14:textId="77777777" w:rsidR="006357A2" w:rsidRPr="00484A0F" w:rsidRDefault="006357A2" w:rsidP="006357A2">
      <w:pPr>
        <w:pStyle w:val="Cizojazynnzev"/>
        <w:rPr>
          <w:lang w:val="fr-FR"/>
        </w:rPr>
      </w:pPr>
      <w:r w:rsidRPr="00484A0F">
        <w:rPr>
          <w:lang w:val="fr-FR"/>
        </w:rPr>
        <w:t>Machines électriques tournantes –</w:t>
      </w:r>
      <w:r w:rsidRPr="00484A0F">
        <w:rPr>
          <w:lang w:val="fr-FR"/>
        </w:rPr>
        <w:br/>
        <w:t>Partie 17: Moteurs à induction à cage alimentés par convertisseurs – Guide d’application</w:t>
      </w:r>
    </w:p>
    <w:p w14:paraId="716E6F90" w14:textId="77777777" w:rsidR="00A83EAB" w:rsidRDefault="006357A2" w:rsidP="006357A2">
      <w:pPr>
        <w:pStyle w:val="Cizojazynnzev"/>
        <w:spacing w:after="840"/>
      </w:pPr>
      <w:r w:rsidRPr="00484A0F">
        <w:rPr>
          <w:lang w:val="de-DE"/>
        </w:rPr>
        <w:t>Drehende elektrische Maschinen –</w:t>
      </w:r>
      <w:r w:rsidRPr="00484A0F">
        <w:rPr>
          <w:lang w:val="de-DE"/>
        </w:rPr>
        <w:br/>
        <w:t>Teil 17: Umrichtergespeiste Induktionsmotoren mit Käfigläufern – Projektierungsleitfaden</w:t>
      </w:r>
    </w:p>
    <w:p w14:paraId="34BAD994" w14:textId="77777777" w:rsidR="006357A2" w:rsidRPr="006357A2" w:rsidRDefault="006357A2" w:rsidP="006357A2">
      <w:pPr>
        <w:pStyle w:val="Textnormy"/>
      </w:pPr>
      <w:r w:rsidRPr="006357A2">
        <w:t>Tato norma je českou verzí technické specifikace CLC IEC/TS 60034-17:2004. Překlad byl zajištěn Českou agenturou pro standardizaci. Má stejný status jako oficiální verze.</w:t>
      </w:r>
    </w:p>
    <w:p w14:paraId="7F39DCC0" w14:textId="77777777" w:rsidR="00A83EAB" w:rsidRPr="006357A2" w:rsidRDefault="006357A2" w:rsidP="006357A2">
      <w:pPr>
        <w:pStyle w:val="Textnormy"/>
      </w:pPr>
      <w:r w:rsidRPr="006357A2">
        <w:rPr>
          <w:lang w:val="en-GB"/>
        </w:rPr>
        <w:t xml:space="preserve">This standard is the Czech version of the Technical Specification CLC IEC/TS 60034-17:2004. </w:t>
      </w:r>
      <w:r w:rsidRPr="006357A2">
        <w:t xml:space="preserve">It was translated by the </w:t>
      </w:r>
      <w:r w:rsidRPr="006357A2">
        <w:rPr>
          <w:rFonts w:cs="Arial"/>
          <w:color w:val="000000"/>
        </w:rPr>
        <w:t>Czech Standardization Agency</w:t>
      </w:r>
      <w:r w:rsidRPr="006357A2">
        <w:rPr>
          <w:lang w:val="en-GB"/>
        </w:rPr>
        <w:t>. It has the same status as the official version.</w:t>
      </w:r>
    </w:p>
    <w:p w14:paraId="69D6B7B8" w14:textId="77777777" w:rsidR="00A83EAB" w:rsidRDefault="00A83EAB">
      <w:pPr>
        <w:pStyle w:val="Textnormy"/>
        <w:tabs>
          <w:tab w:val="right" w:pos="9923"/>
        </w:tabs>
      </w:pPr>
    </w:p>
    <w:p w14:paraId="6D53055A" w14:textId="77777777" w:rsidR="00A83EAB" w:rsidRDefault="00A83EAB">
      <w:pPr>
        <w:pStyle w:val="Textnormy"/>
        <w:tabs>
          <w:tab w:val="right" w:pos="9923"/>
        </w:tabs>
        <w:sectPr w:rsidR="00A83EAB">
          <w:headerReference w:type="even" r:id="rId7"/>
          <w:headerReference w:type="default" r:id="rId8"/>
          <w:footerReference w:type="even" r:id="rId9"/>
          <w:footerReference w:type="default" r:id="rId10"/>
          <w:headerReference w:type="first" r:id="rId11"/>
          <w:footerReference w:type="first" r:id="rId12"/>
          <w:pgSz w:w="11907" w:h="16840" w:code="9"/>
          <w:pgMar w:top="1134" w:right="964" w:bottom="1134" w:left="1021" w:header="708" w:footer="851" w:gutter="0"/>
          <w:pgNumType w:start="1"/>
          <w:cols w:space="708"/>
          <w:titlePg/>
        </w:sectPr>
      </w:pPr>
    </w:p>
    <w:p w14:paraId="25014309" w14:textId="77777777" w:rsidR="006357A2" w:rsidRPr="006357A2" w:rsidRDefault="006357A2" w:rsidP="006357A2">
      <w:pPr>
        <w:pStyle w:val="Nadpiskapitoly"/>
        <w:spacing w:before="0"/>
      </w:pPr>
      <w:r w:rsidRPr="006357A2">
        <w:lastRenderedPageBreak/>
        <w:t>Národní předmluva</w:t>
      </w:r>
    </w:p>
    <w:p w14:paraId="3C757521" w14:textId="77777777" w:rsidR="006357A2" w:rsidRPr="006357A2" w:rsidRDefault="006357A2" w:rsidP="006357A2">
      <w:pPr>
        <w:pStyle w:val="Nadpislnku"/>
      </w:pPr>
      <w:r w:rsidRPr="006357A2">
        <w:t>Upozornění na používání této normy</w:t>
      </w:r>
    </w:p>
    <w:p w14:paraId="011B4A0F" w14:textId="77777777" w:rsidR="006357A2" w:rsidRPr="006357A2" w:rsidRDefault="006357A2" w:rsidP="006357A2">
      <w:pPr>
        <w:pStyle w:val="Textnormy"/>
      </w:pPr>
      <w:r w:rsidRPr="006357A2">
        <w:t>Tato norma přejímá technickou specifikaci CLC IEC/TS 60034-17:2004 vydanou v souladu s vnitřními předpisy CEN/CENELEC, část 2.</w:t>
      </w:r>
    </w:p>
    <w:p w14:paraId="61FB155F" w14:textId="77777777" w:rsidR="006357A2" w:rsidRPr="006357A2" w:rsidRDefault="006357A2" w:rsidP="006357A2">
      <w:pPr>
        <w:pStyle w:val="Nadpislnku"/>
      </w:pPr>
      <w:r w:rsidRPr="006357A2">
        <w:t>Informace o citovaných dokumentech</w:t>
      </w:r>
    </w:p>
    <w:p w14:paraId="786FCFBD" w14:textId="77777777" w:rsidR="006357A2" w:rsidRPr="006357A2" w:rsidRDefault="006357A2" w:rsidP="006357A2">
      <w:pPr>
        <w:pStyle w:val="Textnormy"/>
      </w:pPr>
      <w:r w:rsidRPr="006357A2">
        <w:t>IEC 60034-1:1999</w:t>
      </w:r>
      <w:r w:rsidRPr="006357A2">
        <w:rPr>
          <w:rStyle w:val="Znakapoznpodarou"/>
        </w:rPr>
        <w:footnoteReference w:customMarkFollows="1" w:id="1"/>
        <w:t>*)</w:t>
      </w:r>
      <w:r w:rsidR="00B363AC">
        <w:t> </w:t>
      </w:r>
      <w:r w:rsidRPr="006357A2">
        <w:t>zavedena v ČSN EN 60034-1+A1+A2 ed. 2:2001 (35 0000) Točivé elektrické stroje – Část 1: Jmenovité údaje a vlastnosti</w:t>
      </w:r>
    </w:p>
    <w:p w14:paraId="74816F4E" w14:textId="77777777" w:rsidR="006357A2" w:rsidRPr="006357A2" w:rsidRDefault="006357A2" w:rsidP="006357A2">
      <w:pPr>
        <w:pStyle w:val="Textnormy"/>
      </w:pPr>
      <w:r w:rsidRPr="006357A2">
        <w:t>IEC 60034-6:1991</w:t>
      </w:r>
      <w:r w:rsidR="00B363AC">
        <w:t> </w:t>
      </w:r>
      <w:r w:rsidRPr="006357A2">
        <w:t>zavedena v ČSN EN 60034-6:1995 (35 0000) Točivé elektrické stroje – Část 6: Způsoby chlazení (IC kód)</w:t>
      </w:r>
    </w:p>
    <w:p w14:paraId="24980809" w14:textId="77777777" w:rsidR="006357A2" w:rsidRPr="006357A2" w:rsidRDefault="006357A2" w:rsidP="006357A2">
      <w:pPr>
        <w:pStyle w:val="Textnormy"/>
      </w:pPr>
      <w:r w:rsidRPr="006357A2">
        <w:t>IEC 60034-12:1980</w:t>
      </w:r>
      <w:r w:rsidR="00B363AC">
        <w:t> </w:t>
      </w:r>
      <w:r w:rsidR="006C0CD6">
        <w:t>nezavedena</w:t>
      </w:r>
      <w:r w:rsidRPr="006357A2">
        <w:rPr>
          <w:rStyle w:val="Znakapoznpodarou"/>
        </w:rPr>
        <w:footnoteReference w:customMarkFollows="1" w:id="2"/>
        <w:t>**)</w:t>
      </w:r>
    </w:p>
    <w:p w14:paraId="77790F1E" w14:textId="567520DF" w:rsidR="006357A2" w:rsidRPr="006357A2" w:rsidRDefault="006357A2" w:rsidP="006357A2">
      <w:pPr>
        <w:pStyle w:val="Textnormy"/>
      </w:pPr>
      <w:r w:rsidRPr="006357A2">
        <w:t xml:space="preserve">IEC 60072 </w:t>
      </w:r>
      <w:r w:rsidR="008766D9">
        <w:t>(</w:t>
      </w:r>
      <w:r w:rsidRPr="006357A2">
        <w:t>soubor</w:t>
      </w:r>
      <w:r w:rsidR="008766D9">
        <w:t>)</w:t>
      </w:r>
      <w:r w:rsidR="00B363AC">
        <w:t> </w:t>
      </w:r>
      <w:r w:rsidRPr="006357A2">
        <w:t>zaveden v souboru ČSN IEC 72 (35 0040) Rozměry a výkony točivých elektrických strojů</w:t>
      </w:r>
    </w:p>
    <w:p w14:paraId="7A45E788" w14:textId="77777777" w:rsidR="006357A2" w:rsidRPr="006357A2" w:rsidRDefault="006357A2" w:rsidP="006357A2">
      <w:pPr>
        <w:pStyle w:val="Nadpislnku"/>
      </w:pPr>
      <w:r w:rsidRPr="006357A2">
        <w:t>Souvisící ČSN</w:t>
      </w:r>
    </w:p>
    <w:p w14:paraId="66D05380" w14:textId="77777777" w:rsidR="006357A2" w:rsidRPr="006357A2" w:rsidRDefault="006357A2" w:rsidP="006357A2">
      <w:pPr>
        <w:pStyle w:val="Textnormy"/>
      </w:pPr>
      <w:r w:rsidRPr="006357A2">
        <w:t>ČSN IEC 60050-351 (35 0000)</w:t>
      </w:r>
      <w:r w:rsidRPr="006357A2">
        <w:rPr>
          <w:rFonts w:ascii="Arial Unicode MS" w:eastAsia="Arial Unicode MS" w:hAnsi="Arial Unicode MS" w:cs="Arial Unicode MS" w:hint="eastAsia"/>
        </w:rPr>
        <w:t> </w:t>
      </w:r>
      <w:r w:rsidRPr="006357A2">
        <w:t>Mezinárodní elektrotechnický slovník – Část 351: Automatické řízení</w:t>
      </w:r>
    </w:p>
    <w:p w14:paraId="61204285" w14:textId="77777777" w:rsidR="006357A2" w:rsidRPr="006357A2" w:rsidRDefault="006357A2" w:rsidP="006357A2">
      <w:pPr>
        <w:pStyle w:val="Textnormy"/>
        <w:rPr>
          <w:rFonts w:cs="Arial"/>
        </w:rPr>
      </w:pPr>
      <w:r w:rsidRPr="006357A2">
        <w:rPr>
          <w:rFonts w:cs="Arial"/>
        </w:rPr>
        <w:t>ČSN IEC 60050-551 (35 0000)</w:t>
      </w:r>
      <w:r w:rsidRPr="006357A2">
        <w:rPr>
          <w:rFonts w:eastAsia="Arial Unicode MS" w:hAnsi="Arial Unicode MS" w:cs="Arial"/>
        </w:rPr>
        <w:t> </w:t>
      </w:r>
      <w:r w:rsidRPr="006357A2">
        <w:rPr>
          <w:rFonts w:cs="Arial"/>
        </w:rPr>
        <w:t>Mezinárodní elektrotechnický slovník – Část 551: Výkonová elektronika</w:t>
      </w:r>
    </w:p>
    <w:p w14:paraId="2DA4CD2C" w14:textId="77777777" w:rsidR="006357A2" w:rsidRPr="006357A2" w:rsidRDefault="006357A2" w:rsidP="006357A2">
      <w:pPr>
        <w:pStyle w:val="Textnormy"/>
        <w:rPr>
          <w:rFonts w:cs="Arial"/>
        </w:rPr>
      </w:pPr>
      <w:r w:rsidRPr="006357A2">
        <w:rPr>
          <w:rFonts w:cs="Arial"/>
        </w:rPr>
        <w:t>ČSN IEC 60050-551-20 (35 0000)</w:t>
      </w:r>
      <w:r w:rsidRPr="006357A2">
        <w:rPr>
          <w:rFonts w:eastAsia="Arial Unicode MS" w:hAnsi="Arial Unicode MS" w:cs="Arial"/>
        </w:rPr>
        <w:t> </w:t>
      </w:r>
      <w:r w:rsidRPr="006357A2">
        <w:rPr>
          <w:rFonts w:cs="Arial"/>
        </w:rPr>
        <w:t>Mezinárodní elektrotechnický slovník – Část 551-20: Výkonová elektronika –</w:t>
      </w:r>
      <w:r w:rsidRPr="006357A2">
        <w:rPr>
          <w:rFonts w:cs="Arial"/>
        </w:rPr>
        <w:br/>
        <w:t xml:space="preserve">Harmonická analýza </w:t>
      </w:r>
    </w:p>
    <w:p w14:paraId="265FD732" w14:textId="77777777" w:rsidR="006357A2" w:rsidRPr="006357A2" w:rsidRDefault="006357A2" w:rsidP="006357A2">
      <w:pPr>
        <w:pStyle w:val="Textnormy"/>
        <w:rPr>
          <w:rFonts w:cs="Arial"/>
        </w:rPr>
      </w:pPr>
      <w:r w:rsidRPr="006357A2">
        <w:rPr>
          <w:rFonts w:cs="Arial"/>
        </w:rPr>
        <w:t>ČSN CLC/TS 60034-26 (35 0000)</w:t>
      </w:r>
      <w:r w:rsidRPr="006357A2">
        <w:rPr>
          <w:rFonts w:eastAsia="Arial Unicode MS" w:hAnsi="Arial Unicode MS" w:cs="Arial"/>
        </w:rPr>
        <w:t> </w:t>
      </w:r>
      <w:r w:rsidRPr="006357A2">
        <w:rPr>
          <w:rFonts w:cs="Arial"/>
        </w:rPr>
        <w:t>Točivé elektrické stroje – Část 26: Vlivy nesymetrických napětí na vlastnosti trojfázových asynchronních motorů</w:t>
      </w:r>
    </w:p>
    <w:p w14:paraId="45CF5435" w14:textId="77777777" w:rsidR="006357A2" w:rsidRPr="006357A2" w:rsidRDefault="006357A2" w:rsidP="006357A2">
      <w:pPr>
        <w:pStyle w:val="Nadpislnku"/>
      </w:pPr>
      <w:r w:rsidRPr="006357A2">
        <w:t>Vysvětlivky k textu této normy</w:t>
      </w:r>
    </w:p>
    <w:p w14:paraId="3DDE5430" w14:textId="77777777" w:rsidR="006357A2" w:rsidRPr="006357A2" w:rsidRDefault="006357A2" w:rsidP="006357A2">
      <w:pPr>
        <w:pStyle w:val="Textnormy"/>
      </w:pPr>
      <w:r w:rsidRPr="006357A2">
        <w:rPr>
          <w:rFonts w:cs="Arial"/>
        </w:rPr>
        <w:t xml:space="preserve">V případě nedatovaných odkazů na evropské/mezinárodní normy jsou ČSN uvedené v článcích „Informace </w:t>
      </w:r>
      <w:r w:rsidR="00B363AC">
        <w:rPr>
          <w:rFonts w:cs="Arial"/>
        </w:rPr>
        <w:br/>
      </w:r>
      <w:r w:rsidRPr="006357A2">
        <w:rPr>
          <w:rFonts w:cs="Arial"/>
        </w:rPr>
        <w:t>o citovaných dokumentech“ a „Souvisící ČSN“ nejnovějšími vydáními, platnými v době schválení této normy. Při používání této normy je třeba vždy použít taková vydání ČSN, která přejímají nejnovější vydání nedatovaných evropských/mezinárodních norem (včetně všech změn).</w:t>
      </w:r>
    </w:p>
    <w:p w14:paraId="15509499" w14:textId="77777777" w:rsidR="006357A2" w:rsidRPr="006357A2" w:rsidRDefault="006357A2" w:rsidP="006357A2">
      <w:pPr>
        <w:pStyle w:val="Nadpislnku"/>
      </w:pPr>
      <w:r w:rsidRPr="006357A2">
        <w:t>Informativní údaje z IEC/TS 60034-17:2002</w:t>
      </w:r>
    </w:p>
    <w:p w14:paraId="5BBF0138" w14:textId="77777777" w:rsidR="006357A2" w:rsidRPr="006357A2" w:rsidRDefault="006357A2" w:rsidP="006357A2">
      <w:pPr>
        <w:pStyle w:val="Textnormy"/>
      </w:pPr>
      <w:r w:rsidRPr="006357A2">
        <w:t xml:space="preserve">Tuto technickou specifikaci vypracovala technická komise IEC/TC 2 </w:t>
      </w:r>
      <w:r w:rsidRPr="006357A2">
        <w:rPr>
          <w:i/>
        </w:rPr>
        <w:t>Točivé stroje</w:t>
      </w:r>
      <w:r w:rsidRPr="006357A2">
        <w:t>.</w:t>
      </w:r>
    </w:p>
    <w:p w14:paraId="499EACA4" w14:textId="77777777" w:rsidR="006357A2" w:rsidRPr="006357A2" w:rsidRDefault="006357A2" w:rsidP="006357A2">
      <w:pPr>
        <w:pStyle w:val="Textnormy"/>
      </w:pPr>
      <w:r w:rsidRPr="006357A2">
        <w:t>Toto třetí vydání zrušuje a nahrazuje druhé vydání z roku 1998, jehož je technickou revizí.</w:t>
      </w:r>
    </w:p>
    <w:p w14:paraId="6751ED9C" w14:textId="77777777" w:rsidR="006357A2" w:rsidRPr="006357A2" w:rsidRDefault="006357A2" w:rsidP="006357A2">
      <w:pPr>
        <w:pStyle w:val="Textnormy"/>
        <w:spacing w:after="240"/>
      </w:pPr>
      <w:r w:rsidRPr="006357A2">
        <w:t>Text této technické specifikace se zakládá na těchto dokumentech:</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2268"/>
      </w:tblGrid>
      <w:tr w:rsidR="006357A2" w:rsidRPr="006357A2" w14:paraId="7904EE0B" w14:textId="77777777" w:rsidTr="007F0A44">
        <w:trPr>
          <w:jc w:val="center"/>
        </w:trPr>
        <w:tc>
          <w:tcPr>
            <w:tcW w:w="2268" w:type="dxa"/>
          </w:tcPr>
          <w:p w14:paraId="4D15784D" w14:textId="77777777" w:rsidR="006357A2" w:rsidRPr="006357A2" w:rsidRDefault="006357A2" w:rsidP="007F0A44">
            <w:pPr>
              <w:pStyle w:val="Texttabulky"/>
              <w:jc w:val="center"/>
            </w:pPr>
            <w:r w:rsidRPr="006357A2">
              <w:t>Návrh k vyjádření</w:t>
            </w:r>
          </w:p>
        </w:tc>
        <w:tc>
          <w:tcPr>
            <w:tcW w:w="2268" w:type="dxa"/>
          </w:tcPr>
          <w:p w14:paraId="4BB4FAC3" w14:textId="77777777" w:rsidR="006357A2" w:rsidRPr="006357A2" w:rsidRDefault="006357A2" w:rsidP="007F0A44">
            <w:pPr>
              <w:pStyle w:val="Texttabulky"/>
              <w:jc w:val="center"/>
            </w:pPr>
            <w:r w:rsidRPr="006357A2">
              <w:t>Zpráva o hlasování</w:t>
            </w:r>
          </w:p>
        </w:tc>
      </w:tr>
      <w:tr w:rsidR="006357A2" w:rsidRPr="006357A2" w14:paraId="459DAC37" w14:textId="77777777" w:rsidTr="007F0A44">
        <w:trPr>
          <w:jc w:val="center"/>
        </w:trPr>
        <w:tc>
          <w:tcPr>
            <w:tcW w:w="2268" w:type="dxa"/>
          </w:tcPr>
          <w:p w14:paraId="4D2D08B7" w14:textId="77777777" w:rsidR="006357A2" w:rsidRPr="006357A2" w:rsidRDefault="006357A2" w:rsidP="007F0A44">
            <w:pPr>
              <w:pStyle w:val="Texttabulky"/>
              <w:jc w:val="center"/>
            </w:pPr>
            <w:r w:rsidRPr="006357A2">
              <w:t>2/1117A/DTS</w:t>
            </w:r>
          </w:p>
        </w:tc>
        <w:tc>
          <w:tcPr>
            <w:tcW w:w="2268" w:type="dxa"/>
          </w:tcPr>
          <w:p w14:paraId="53B443E6" w14:textId="77777777" w:rsidR="006357A2" w:rsidRPr="006357A2" w:rsidRDefault="006357A2" w:rsidP="007F0A44">
            <w:pPr>
              <w:pStyle w:val="Texttabulky"/>
              <w:jc w:val="center"/>
            </w:pPr>
            <w:r w:rsidRPr="006357A2">
              <w:t>2/1157A/RVDTS</w:t>
            </w:r>
          </w:p>
        </w:tc>
      </w:tr>
    </w:tbl>
    <w:p w14:paraId="4CE495C4" w14:textId="77777777" w:rsidR="006357A2" w:rsidRDefault="006357A2" w:rsidP="006357A2">
      <w:pPr>
        <w:pStyle w:val="Textnormy"/>
      </w:pPr>
      <w:r w:rsidRPr="006357A2">
        <w:t>Úplnou informaci o hlasování při schvalování této technické specifikace lze najít ve zprávě o hlasování ve výše uvedené tabulce.</w:t>
      </w:r>
    </w:p>
    <w:p w14:paraId="004026F6" w14:textId="77777777" w:rsidR="00881681" w:rsidRDefault="00881681" w:rsidP="00881681">
      <w:pPr>
        <w:pStyle w:val="Textnormy"/>
      </w:pPr>
      <w:r>
        <w:t>Jazyk použitý při vypracování této mezinárodní normy je angličtina.</w:t>
      </w:r>
    </w:p>
    <w:p w14:paraId="5BCB7244" w14:textId="5A58A1A5" w:rsidR="00881681" w:rsidRPr="006357A2" w:rsidRDefault="00881681" w:rsidP="006357A2">
      <w:pPr>
        <w:pStyle w:val="Textnormy"/>
      </w:pPr>
      <w:r>
        <w:t xml:space="preserve">Tento dokument byl navržen v souladu se směrnicemi ISO/IEC, část 2, a byl vypracován v souladu se směrnicemi ISO/IEC, část 1, a se směrnicemi ISO/IEC, dodatkem IEC, dostupnými na </w:t>
      </w:r>
      <w:hyperlink r:id="rId13" w:history="1">
        <w:r>
          <w:rPr>
            <w:u w:val="single"/>
          </w:rPr>
          <w:t>www.iec.ch/members_experts/refdocs</w:t>
        </w:r>
      </w:hyperlink>
      <w:r>
        <w:t xml:space="preserve">. Hlavní typy dokumentů vypracované v IEC jsou podrobněji popsány v </w:t>
      </w:r>
      <w:hyperlink r:id="rId14" w:history="1">
        <w:r>
          <w:rPr>
            <w:u w:val="single"/>
          </w:rPr>
          <w:t>www.iec.ch/standardsdev/publications</w:t>
        </w:r>
      </w:hyperlink>
      <w:r>
        <w:t xml:space="preserve">. </w:t>
      </w:r>
    </w:p>
    <w:p w14:paraId="78526D98" w14:textId="12C37C09" w:rsidR="006357A2" w:rsidRDefault="006357A2" w:rsidP="006357A2">
      <w:pPr>
        <w:pStyle w:val="Textnormy"/>
      </w:pPr>
      <w:r w:rsidRPr="006357A2">
        <w:t>Tento dokument byl vypracován v souladu se směrnicemi ISO/IEC, část 2.</w:t>
      </w:r>
    </w:p>
    <w:p w14:paraId="7225D247" w14:textId="59D96B7D" w:rsidR="0029244D" w:rsidRPr="006357A2" w:rsidRDefault="0029244D" w:rsidP="0029244D">
      <w:pPr>
        <w:pStyle w:val="Textnormy"/>
      </w:pPr>
      <w:r>
        <w:t xml:space="preserve">Seznam všech částí souboru IEC 60034 se společným názvem </w:t>
      </w:r>
      <w:r>
        <w:rPr>
          <w:rFonts w:ascii="Arial-ItalicMT" w:hAnsi="Arial-ItalicMT" w:cs="Arial-ItalicMT"/>
          <w:i/>
          <w:iCs/>
        </w:rPr>
        <w:t xml:space="preserve">Točivé elektrické stroje </w:t>
      </w:r>
      <w:r>
        <w:t>je možné nalézt na webových stránkách IEC.</w:t>
      </w:r>
    </w:p>
    <w:p w14:paraId="0D4367EB" w14:textId="0C6D68BE" w:rsidR="006357A2" w:rsidRPr="006357A2" w:rsidRDefault="006357A2" w:rsidP="006357A2">
      <w:pPr>
        <w:pStyle w:val="Textnormy"/>
        <w:rPr>
          <w:rFonts w:cs="Arial"/>
        </w:rPr>
      </w:pPr>
      <w:r w:rsidRPr="006357A2">
        <w:rPr>
          <w:rFonts w:cs="Arial"/>
        </w:rPr>
        <w:lastRenderedPageBreak/>
        <w:t>Komise rozhodla, že obsah tohoto dokumentu zůstane nezměněn až do data příští prověrky (stability date) uvedeného na webových stránkách IEC (</w:t>
      </w:r>
      <w:hyperlink r:id="rId15" w:history="1">
        <w:r w:rsidRPr="006357A2">
          <w:rPr>
            <w:rFonts w:cs="Arial"/>
            <w:u w:val="single"/>
          </w:rPr>
          <w:t>http://webstore.iec.ch</w:t>
        </w:r>
      </w:hyperlink>
      <w:r w:rsidRPr="006357A2">
        <w:rPr>
          <w:rFonts w:cs="Arial"/>
        </w:rPr>
        <w:t>) v údajích o tomto dokumentu. K tomuto datu bude dokument buď</w:t>
      </w:r>
      <w:r w:rsidR="00FC6A4F">
        <w:rPr>
          <w:rFonts w:cs="Arial"/>
        </w:rPr>
        <w:t xml:space="preserve"> </w:t>
      </w:r>
      <w:r w:rsidR="00FC6A4F" w:rsidRPr="005B3778">
        <w:rPr>
          <w:i/>
          <w:iCs/>
          <w:highlight w:val="yellow"/>
        </w:rPr>
        <w:t>Výčet položek se uvede podle originálu)</w:t>
      </w:r>
      <w:r w:rsidR="00FC6A4F">
        <w:rPr>
          <w:i/>
          <w:iCs/>
        </w:rPr>
        <w:t>.</w:t>
      </w:r>
    </w:p>
    <w:p w14:paraId="6DF6540C" w14:textId="440D7259" w:rsidR="006357A2" w:rsidRPr="006357A2" w:rsidRDefault="006357A2" w:rsidP="006357A2">
      <w:pPr>
        <w:pStyle w:val="Seznamvnorm"/>
        <w:rPr>
          <w:rFonts w:cs="Arial"/>
        </w:rPr>
      </w:pPr>
      <w:r w:rsidRPr="006357A2">
        <w:rPr>
          <w:rFonts w:cs="Arial"/>
        </w:rPr>
        <w:t>znovu potvrzen</w:t>
      </w:r>
      <w:r w:rsidR="00945137">
        <w:rPr>
          <w:rFonts w:cs="Arial"/>
        </w:rPr>
        <w:t>,</w:t>
      </w:r>
    </w:p>
    <w:p w14:paraId="1E033A9C" w14:textId="52E8AA6E" w:rsidR="006357A2" w:rsidRPr="006357A2" w:rsidRDefault="006357A2" w:rsidP="006357A2">
      <w:pPr>
        <w:pStyle w:val="Seznamvnorm"/>
        <w:rPr>
          <w:rFonts w:cs="Arial"/>
        </w:rPr>
      </w:pPr>
      <w:r w:rsidRPr="006357A2">
        <w:rPr>
          <w:rFonts w:cs="Arial"/>
        </w:rPr>
        <w:t>zrušen</w:t>
      </w:r>
      <w:r w:rsidR="00FF45FE">
        <w:rPr>
          <w:rFonts w:cs="Arial"/>
        </w:rPr>
        <w:t>, nebo</w:t>
      </w:r>
    </w:p>
    <w:p w14:paraId="0DC7ABB7" w14:textId="04CBD7B3" w:rsidR="006357A2" w:rsidRPr="006357A2" w:rsidRDefault="006357A2" w:rsidP="006357A2">
      <w:pPr>
        <w:pStyle w:val="Seznamvnorm"/>
        <w:rPr>
          <w:rFonts w:cs="Arial"/>
        </w:rPr>
      </w:pPr>
      <w:r w:rsidRPr="006357A2">
        <w:t>z</w:t>
      </w:r>
      <w:r w:rsidR="00FF45FE">
        <w:t>revidová</w:t>
      </w:r>
      <w:r w:rsidRPr="006357A2">
        <w:t>n.</w:t>
      </w:r>
    </w:p>
    <w:p w14:paraId="401356EF" w14:textId="77777777" w:rsidR="006357A2" w:rsidRPr="006357A2" w:rsidRDefault="006357A2" w:rsidP="006357A2">
      <w:pPr>
        <w:pStyle w:val="Nadpislnku"/>
      </w:pPr>
      <w:r w:rsidRPr="006357A2">
        <w:t>Upozornění na národní poznámky</w:t>
      </w:r>
    </w:p>
    <w:p w14:paraId="40FAE54B" w14:textId="77777777" w:rsidR="006357A2" w:rsidRPr="006357A2" w:rsidRDefault="006357A2" w:rsidP="006357A2">
      <w:pPr>
        <w:pStyle w:val="Textnormy"/>
      </w:pPr>
      <w:r w:rsidRPr="006357A2">
        <w:t xml:space="preserve">Do této normy byly ke kapitolám </w:t>
      </w:r>
      <w:smartTag w:uri="urn:schemas-microsoft-com:office:smarttags" w:element="metricconverter">
        <w:smartTagPr>
          <w:attr w:name="ProductID" w:val="4ﾠa"/>
        </w:smartTagPr>
        <w:r w:rsidRPr="006357A2">
          <w:t>4 a</w:t>
        </w:r>
      </w:smartTag>
      <w:r w:rsidRPr="006357A2">
        <w:t xml:space="preserve"> 10, k obrázkům 1 až </w:t>
      </w:r>
      <w:smartTag w:uri="urn:schemas-microsoft-com:office:smarttags" w:element="metricconverter">
        <w:smartTagPr>
          <w:attr w:name="ProductID" w:val="3ﾠa"/>
        </w:smartTagPr>
        <w:r w:rsidRPr="006357A2">
          <w:t>3 a</w:t>
        </w:r>
      </w:smartTag>
      <w:r w:rsidRPr="006357A2">
        <w:t xml:space="preserve"> příloze ZA doplněny vysvětlující národní poznámky.</w:t>
      </w:r>
    </w:p>
    <w:p w14:paraId="31563889" w14:textId="77777777" w:rsidR="00DE5D04" w:rsidRPr="00AC0FA5" w:rsidRDefault="00DE5D04" w:rsidP="00DE5D04">
      <w:pPr>
        <w:pStyle w:val="Textnormy"/>
        <w:pBdr>
          <w:top w:val="single" w:sz="4" w:space="1" w:color="auto"/>
          <w:left w:val="single" w:sz="4" w:space="4" w:color="auto"/>
          <w:bottom w:val="single" w:sz="4" w:space="1" w:color="auto"/>
          <w:right w:val="single" w:sz="4" w:space="4" w:color="auto"/>
        </w:pBdr>
        <w:spacing w:before="120"/>
      </w:pPr>
      <w:r w:rsidRPr="00F3589A">
        <w:t>UPOZORNĚNÍ – Publikace obsahuje barevný tisk, který je považován za potřebný k porozumění jejímu obsahu. Uživatelé by proto měli pro tisk tohoto dokumentu použít barevnou tiskárnu.</w:t>
      </w:r>
      <w:r>
        <w:t xml:space="preserve"> </w:t>
      </w:r>
      <w:r w:rsidRPr="00AC0FA5">
        <w:rPr>
          <w:i/>
          <w:highlight w:val="yellow"/>
        </w:rPr>
        <w:t>(Uvádí se</w:t>
      </w:r>
      <w:r w:rsidRPr="00350E80">
        <w:rPr>
          <w:i/>
          <w:highlight w:val="yellow"/>
        </w:rPr>
        <w:t>,</w:t>
      </w:r>
      <w:r>
        <w:rPr>
          <w:i/>
          <w:highlight w:val="yellow"/>
        </w:rPr>
        <w:t xml:space="preserve"> </w:t>
      </w:r>
      <w:r w:rsidRPr="00350E80">
        <w:rPr>
          <w:i/>
          <w:highlight w:val="yellow"/>
        </w:rPr>
        <w:t>obsahuje-li norma IEC upozornění na barevný tisk</w:t>
      </w:r>
      <w:r>
        <w:rPr>
          <w:i/>
          <w:highlight w:val="yellow"/>
        </w:rPr>
        <w:t>.</w:t>
      </w:r>
      <w:r w:rsidRPr="00350E80">
        <w:rPr>
          <w:i/>
          <w:highlight w:val="yellow"/>
        </w:rPr>
        <w:t>)</w:t>
      </w:r>
      <w:r>
        <w:rPr>
          <w:i/>
        </w:rPr>
        <w:t xml:space="preserve"> </w:t>
      </w:r>
    </w:p>
    <w:p w14:paraId="6FEE6EFA" w14:textId="77777777" w:rsidR="00FC6A4F" w:rsidRDefault="00FC6A4F" w:rsidP="000C45D4">
      <w:pPr>
        <w:pStyle w:val="Nadpislnku"/>
      </w:pPr>
      <w:r w:rsidRPr="000C45D4">
        <w:t>Vypracování</w:t>
      </w:r>
      <w:r w:rsidRPr="00AC0FA5">
        <w:t xml:space="preserve"> normy</w:t>
      </w:r>
    </w:p>
    <w:p w14:paraId="29246395" w14:textId="7B856E4D" w:rsidR="00FC6A4F" w:rsidRDefault="00FC6A4F" w:rsidP="00FC6A4F">
      <w:pPr>
        <w:pStyle w:val="Textnormy"/>
      </w:pPr>
      <w:r>
        <w:t>Zpracovatel odborného překladu</w:t>
      </w:r>
      <w:r>
        <w:rPr>
          <w:bCs/>
        </w:rPr>
        <w:t>:</w:t>
      </w:r>
      <w:r>
        <w:rPr>
          <w:bCs/>
          <w:i/>
          <w:iCs/>
        </w:rPr>
        <w:t xml:space="preserve"> </w:t>
      </w:r>
      <w:r w:rsidRPr="006357A2">
        <w:t>Radka Horská,</w:t>
      </w:r>
      <w:r w:rsidR="00A353F0">
        <w:t xml:space="preserve"> Brno,</w:t>
      </w:r>
      <w:r w:rsidRPr="006357A2">
        <w:t xml:space="preserve"> IČO 16315251</w:t>
      </w:r>
    </w:p>
    <w:p w14:paraId="740D2138" w14:textId="23C8C154" w:rsidR="00FC6A4F" w:rsidRPr="00443131" w:rsidRDefault="00FC6A4F" w:rsidP="00FC6A4F">
      <w:pPr>
        <w:pStyle w:val="Textnormy"/>
      </w:pPr>
      <w:r w:rsidRPr="00443131">
        <w:t xml:space="preserve">Technická normalizační komise: </w:t>
      </w:r>
      <w:r w:rsidRPr="006357A2">
        <w:t>TNK 129 Točivé elektrické stroje</w:t>
      </w:r>
    </w:p>
    <w:p w14:paraId="36C0563C" w14:textId="74B7E5B3" w:rsidR="00FC6A4F" w:rsidRPr="00E54903" w:rsidRDefault="00FC6A4F" w:rsidP="00FC6A4F">
      <w:pPr>
        <w:pStyle w:val="Textnormy"/>
        <w:rPr>
          <w:rStyle w:val="Hypertextovodkaz"/>
          <w:rFonts w:cs="Arial"/>
          <w:color w:val="auto"/>
        </w:rPr>
      </w:pPr>
      <w:r>
        <w:rPr>
          <w:rFonts w:cs="Arial"/>
        </w:rPr>
        <w:t xml:space="preserve">Vydala: </w:t>
      </w:r>
      <w:hyperlink r:id="rId16" w:history="1">
        <w:r w:rsidR="002348D5">
          <w:rPr>
            <w:rStyle w:val="Hypertextovodkaz"/>
          </w:rPr>
          <w:t>Česká agentura pro standardizaci, státní příspěvková organizace</w:t>
        </w:r>
      </w:hyperlink>
    </w:p>
    <w:p w14:paraId="0BB8FD10" w14:textId="14C17CE1" w:rsidR="00FC6A4F" w:rsidRDefault="00FC6A4F" w:rsidP="00FC6A4F">
      <w:pPr>
        <w:pStyle w:val="Textnormy"/>
        <w:rPr>
          <w:b/>
          <w:bCs/>
        </w:rPr>
      </w:pPr>
      <w:r>
        <w:rPr>
          <w:rFonts w:cs="Arial"/>
          <w:b/>
          <w:bCs/>
        </w:rPr>
        <w:t xml:space="preserve">Citované dokumenty a souvisící ČSN lze získat </w:t>
      </w:r>
      <w:r w:rsidR="002348D5">
        <w:rPr>
          <w:rFonts w:cs="Arial"/>
          <w:b/>
          <w:bCs/>
        </w:rPr>
        <w:t>v</w:t>
      </w:r>
      <w:r>
        <w:rPr>
          <w:rFonts w:cs="Arial"/>
          <w:b/>
          <w:bCs/>
        </w:rPr>
        <w:t xml:space="preserve"> </w:t>
      </w:r>
      <w:hyperlink r:id="rId17" w:history="1">
        <w:r>
          <w:rPr>
            <w:rStyle w:val="Hypertextovodkaz"/>
            <w:rFonts w:cs="Arial"/>
            <w:b/>
            <w:bCs/>
          </w:rPr>
          <w:t>e-shopu</w:t>
        </w:r>
      </w:hyperlink>
      <w:r>
        <w:rPr>
          <w:rFonts w:cs="Arial"/>
          <w:b/>
          <w:bCs/>
        </w:rPr>
        <w:t xml:space="preserve"> České agentury pro standardizaci, s. p. o.</w:t>
      </w:r>
    </w:p>
    <w:p w14:paraId="5C146F99" w14:textId="1BEB4FEE" w:rsidR="006357A2" w:rsidRDefault="00FC6A4F" w:rsidP="006357A2">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170A19E6" w14:textId="77777777" w:rsidR="00B363AC" w:rsidRPr="006357A2" w:rsidRDefault="00B363AC" w:rsidP="00B363AC">
      <w:pPr>
        <w:pStyle w:val="Textnormy"/>
        <w:pageBreakBefore/>
      </w:pPr>
    </w:p>
    <w:p w14:paraId="799053CF" w14:textId="77777777" w:rsidR="006357A2" w:rsidRPr="006357A2" w:rsidRDefault="006357A2" w:rsidP="00484543">
      <w:pPr>
        <w:pStyle w:val="EvropNorma"/>
        <w:tabs>
          <w:tab w:val="clear" w:pos="8505"/>
          <w:tab w:val="left" w:pos="7371"/>
        </w:tabs>
      </w:pPr>
      <w:r w:rsidRPr="006357A2">
        <w:lastRenderedPageBreak/>
        <w:t>TECHNICKÁ SPECIFIKACE</w:t>
      </w:r>
      <w:r w:rsidRPr="006357A2">
        <w:tab/>
        <w:t>CLC IEC/TS 60034-17</w:t>
      </w:r>
      <w:r w:rsidRPr="006357A2">
        <w:br/>
        <w:t>TECHNICAL SPECIFICATION</w:t>
      </w:r>
      <w:r w:rsidRPr="006357A2">
        <w:rPr>
          <w:b w:val="0"/>
          <w:sz w:val="20"/>
        </w:rPr>
        <w:br/>
      </w:r>
      <w:r w:rsidRPr="006357A2">
        <w:t>SPECIFICATION TECHNIQUE</w:t>
      </w:r>
      <w:r w:rsidRPr="006357A2">
        <w:br/>
        <w:t>TECHNISCHE SPEZIFIKATION</w:t>
      </w:r>
      <w:r w:rsidRPr="006357A2">
        <w:tab/>
      </w:r>
      <w:r w:rsidRPr="006357A2">
        <w:rPr>
          <w:b w:val="0"/>
          <w:sz w:val="20"/>
        </w:rPr>
        <w:t>Září 2004</w:t>
      </w:r>
    </w:p>
    <w:p w14:paraId="30EC2270" w14:textId="77777777" w:rsidR="006357A2" w:rsidRPr="006357A2" w:rsidRDefault="006357A2" w:rsidP="006357A2">
      <w:pPr>
        <w:pStyle w:val="ICS"/>
      </w:pPr>
      <w:r w:rsidRPr="006357A2">
        <w:t>ICS 29.160.30</w:t>
      </w:r>
      <w:r w:rsidRPr="006357A2">
        <w:tab/>
      </w:r>
    </w:p>
    <w:p w14:paraId="6DF1EE70" w14:textId="77777777" w:rsidR="006357A2" w:rsidRPr="006357A2" w:rsidRDefault="006357A2" w:rsidP="006357A2">
      <w:pPr>
        <w:pStyle w:val="NzNorCZ"/>
      </w:pPr>
      <w:r w:rsidRPr="006357A2">
        <w:t>Točivé elektrické stroje</w:t>
      </w:r>
      <w:r w:rsidR="003314EE">
        <w:t> –</w:t>
      </w:r>
      <w:r w:rsidRPr="006357A2">
        <w:br/>
        <w:t xml:space="preserve">Část 17: Asynchronní motory nakrátko napájené z měničů – </w:t>
      </w:r>
      <w:r w:rsidRPr="006357A2">
        <w:br/>
        <w:t>Pokyn pro používání</w:t>
      </w:r>
      <w:r w:rsidRPr="006357A2">
        <w:br/>
        <w:t>(IEC/TS 60034-17:2002 + opravy 2002 a 2003)</w:t>
      </w:r>
    </w:p>
    <w:p w14:paraId="75553106" w14:textId="77777777" w:rsidR="006357A2" w:rsidRPr="006357A2" w:rsidRDefault="006357A2" w:rsidP="006357A2">
      <w:pPr>
        <w:pStyle w:val="NzNorUS"/>
      </w:pPr>
      <w:r w:rsidRPr="006357A2">
        <w:t>Rotating electrical machines</w:t>
      </w:r>
      <w:r w:rsidR="003314EE">
        <w:t> –</w:t>
      </w:r>
      <w:r w:rsidRPr="006357A2">
        <w:br/>
        <w:t>Part 17: Cage induction motors when fed from converters – Application guide</w:t>
      </w:r>
      <w:r w:rsidRPr="006357A2">
        <w:br/>
        <w:t>(IEC/TS 60034-17:2002 + corrigenda 2002 &amp; 2003)</w:t>
      </w:r>
    </w:p>
    <w:tbl>
      <w:tblPr>
        <w:tblW w:w="9923" w:type="dxa"/>
        <w:jc w:val="center"/>
        <w:tblLayout w:type="fixed"/>
        <w:tblCellMar>
          <w:left w:w="0" w:type="dxa"/>
          <w:right w:w="0" w:type="dxa"/>
        </w:tblCellMar>
        <w:tblLook w:val="0000" w:firstRow="0" w:lastRow="0" w:firstColumn="0" w:lastColumn="0" w:noHBand="0" w:noVBand="0"/>
      </w:tblPr>
      <w:tblGrid>
        <w:gridCol w:w="4961"/>
        <w:gridCol w:w="4962"/>
      </w:tblGrid>
      <w:tr w:rsidR="006357A2" w:rsidRPr="006357A2" w14:paraId="3A4F5432" w14:textId="77777777" w:rsidTr="007F0A44">
        <w:trPr>
          <w:jc w:val="center"/>
        </w:trPr>
        <w:tc>
          <w:tcPr>
            <w:tcW w:w="4961" w:type="dxa"/>
          </w:tcPr>
          <w:p w14:paraId="6046BA93" w14:textId="77777777" w:rsidR="006357A2" w:rsidRPr="006357A2" w:rsidRDefault="006357A2" w:rsidP="007F0A44">
            <w:pPr>
              <w:pStyle w:val="NzNorFraGer"/>
            </w:pPr>
            <w:r w:rsidRPr="006357A2">
              <w:rPr>
                <w:lang w:val="fr-FR"/>
              </w:rPr>
              <w:t>Machines électriques tournantes</w:t>
            </w:r>
            <w:r w:rsidR="003314EE">
              <w:rPr>
                <w:lang w:val="fr-FR"/>
              </w:rPr>
              <w:t> –</w:t>
            </w:r>
            <w:r w:rsidRPr="006357A2">
              <w:rPr>
                <w:lang w:val="fr-FR"/>
              </w:rPr>
              <w:br/>
              <w:t>Partie 17: Moteurs à induction à cage alimentés</w:t>
            </w:r>
            <w:r w:rsidRPr="006357A2">
              <w:rPr>
                <w:lang w:val="fr-FR"/>
              </w:rPr>
              <w:br/>
              <w:t>par convertisseurs – Guide d’application</w:t>
            </w:r>
            <w:r w:rsidRPr="006357A2">
              <w:rPr>
                <w:lang w:val="fr-FR"/>
              </w:rPr>
              <w:br/>
              <w:t>(IEC/TS 60034-17:2002 + corrigenda 2002 &amp; 2003)</w:t>
            </w:r>
          </w:p>
        </w:tc>
        <w:tc>
          <w:tcPr>
            <w:tcW w:w="4961" w:type="dxa"/>
          </w:tcPr>
          <w:p w14:paraId="14707BF0" w14:textId="77777777" w:rsidR="006357A2" w:rsidRPr="006357A2" w:rsidRDefault="006357A2" w:rsidP="007F0A44">
            <w:pPr>
              <w:pStyle w:val="NzNorFraGer"/>
            </w:pPr>
            <w:r w:rsidRPr="006357A2">
              <w:rPr>
                <w:lang w:val="de-DE"/>
              </w:rPr>
              <w:t>Drehende elektrische Maschinen</w:t>
            </w:r>
            <w:r w:rsidR="003314EE">
              <w:rPr>
                <w:lang w:val="de-DE"/>
              </w:rPr>
              <w:t> –</w:t>
            </w:r>
            <w:r w:rsidRPr="006357A2">
              <w:rPr>
                <w:lang w:val="de-DE"/>
              </w:rPr>
              <w:br/>
              <w:t>Teil 17: Umrichtergespeiste Induktionsmotoren</w:t>
            </w:r>
            <w:r w:rsidRPr="006357A2">
              <w:rPr>
                <w:lang w:val="de-DE"/>
              </w:rPr>
              <w:br/>
              <w:t>mit Käfigläufern – Projektierungsleitfaden</w:t>
            </w:r>
            <w:r w:rsidRPr="006357A2">
              <w:rPr>
                <w:lang w:val="de-DE"/>
              </w:rPr>
              <w:br/>
              <w:t>(IEC/TS 60034-17:2002 + Corrigenda 2002 &amp; 2003)</w:t>
            </w:r>
          </w:p>
        </w:tc>
      </w:tr>
    </w:tbl>
    <w:p w14:paraId="105DC9E0" w14:textId="77777777" w:rsidR="006357A2" w:rsidRPr="006357A2" w:rsidRDefault="006357A2" w:rsidP="006357A2">
      <w:pPr>
        <w:pStyle w:val="Textnormy"/>
      </w:pPr>
      <w:r w:rsidRPr="006357A2">
        <w:t>Tato technická specifikace byla schválena CENELEC dne 2004-06-12.</w:t>
      </w:r>
    </w:p>
    <w:p w14:paraId="79164354" w14:textId="77777777" w:rsidR="006357A2" w:rsidRPr="006357A2" w:rsidRDefault="006357A2" w:rsidP="006357A2">
      <w:pPr>
        <w:pStyle w:val="Textnormy"/>
      </w:pPr>
      <w:r w:rsidRPr="006357A2">
        <w:t>Členové CENELEC jsou povinni oznámit existenci této TS stejným způsobem jako u EN a umožnit, aby TS byla v příslušné formě okamžitě dostupná na národní úrovni. Je dovoleno, aby zůstaly v platnosti národní normy, které jsou s TS v rozporu.</w:t>
      </w:r>
    </w:p>
    <w:p w14:paraId="6621ED1E" w14:textId="77777777" w:rsidR="006357A2" w:rsidRPr="006357A2" w:rsidRDefault="006357A2" w:rsidP="006357A2">
      <w:pPr>
        <w:pStyle w:val="Textnormy"/>
      </w:pPr>
      <w:r w:rsidRPr="006357A2">
        <w:t xml:space="preserve">Členy CENELEC jsou národní elektrotechnické komitéty Belgie, Bulharska, České republiky, Dánska, Estonska, Finska, Francie, Chorvatska, Irska, Islandu, Itálie, Kypru, Litvy, Lotyšska, Lucemburska, Maďarska, Malty, </w:t>
      </w:r>
      <w:r w:rsidR="00A7511E">
        <w:br/>
      </w:r>
      <w:r w:rsidRPr="006357A2">
        <w:t>Německa, Nizozemska, Norska, Polska, Portugalska, Rakouska, Republiky Severní Makedonie, Rumunska, Řecka, Slovenska, Slovinska, Spojeného království, Srbska, Španělska, Švédska, Švýcarska a Turecka.</w:t>
      </w:r>
    </w:p>
    <w:p w14:paraId="3E927EA0" w14:textId="77777777" w:rsidR="006357A2" w:rsidRPr="006357A2" w:rsidRDefault="003314EE" w:rsidP="006357A2">
      <w:pPr>
        <w:pStyle w:val="Textnormy"/>
        <w:framePr w:hSpace="142" w:wrap="around" w:hAnchor="page" w:x="1022" w:yAlign="bottom"/>
        <w:spacing w:before="60" w:after="0"/>
        <w:jc w:val="center"/>
        <w:rPr>
          <w:sz w:val="24"/>
        </w:rPr>
      </w:pPr>
      <w:r>
        <w:rPr>
          <w:sz w:val="24"/>
        </w:rPr>
        <w:t xml:space="preserve"> </w:t>
      </w:r>
      <w:r w:rsidR="006357A2" w:rsidRPr="006357A2">
        <w:rPr>
          <w:b/>
          <w:noProof/>
          <w:sz w:val="24"/>
        </w:rPr>
        <w:drawing>
          <wp:inline distT="0" distB="0" distL="0" distR="0" wp14:anchorId="30FFB260" wp14:editId="5C6ADCBF">
            <wp:extent cx="1226820" cy="586740"/>
            <wp:effectExtent l="0" t="0" r="0" b="381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l="2763" r="2763" b="5762"/>
                    <a:stretch>
                      <a:fillRect/>
                    </a:stretch>
                  </pic:blipFill>
                  <pic:spPr bwMode="auto">
                    <a:xfrm>
                      <a:off x="0" y="0"/>
                      <a:ext cx="1226820" cy="586740"/>
                    </a:xfrm>
                    <a:prstGeom prst="rect">
                      <a:avLst/>
                    </a:prstGeom>
                    <a:noFill/>
                    <a:ln>
                      <a:noFill/>
                    </a:ln>
                  </pic:spPr>
                </pic:pic>
              </a:graphicData>
            </a:graphic>
          </wp:inline>
        </w:drawing>
      </w:r>
      <w:r w:rsidR="006357A2" w:rsidRPr="006357A2">
        <w:rPr>
          <w:sz w:val="24"/>
        </w:rPr>
        <w:t xml:space="preserve"> </w:t>
      </w:r>
    </w:p>
    <w:p w14:paraId="15109B17" w14:textId="77777777" w:rsidR="006357A2" w:rsidRPr="006357A2" w:rsidRDefault="006357A2" w:rsidP="006357A2">
      <w:pPr>
        <w:pStyle w:val="Textnormy"/>
        <w:framePr w:hSpace="142" w:wrap="around" w:hAnchor="page" w:x="1022" w:yAlign="bottom"/>
        <w:spacing w:before="60" w:after="0"/>
        <w:jc w:val="center"/>
        <w:rPr>
          <w:b/>
        </w:rPr>
      </w:pPr>
      <w:r w:rsidRPr="006357A2">
        <w:rPr>
          <w:b/>
        </w:rPr>
        <w:t>Evropský výbor pro normalizaci v elektrotechnice</w:t>
      </w:r>
    </w:p>
    <w:p w14:paraId="391A8877" w14:textId="77777777" w:rsidR="006357A2" w:rsidRPr="006357A2" w:rsidRDefault="006357A2" w:rsidP="006357A2">
      <w:pPr>
        <w:pStyle w:val="Textnormy"/>
        <w:framePr w:hSpace="142" w:wrap="around" w:hAnchor="page" w:x="1022" w:yAlign="bottom"/>
        <w:spacing w:before="60" w:after="0"/>
        <w:jc w:val="center"/>
        <w:rPr>
          <w:b/>
          <w:noProof/>
        </w:rPr>
      </w:pPr>
      <w:r w:rsidRPr="006357A2">
        <w:rPr>
          <w:b/>
          <w:noProof/>
        </w:rPr>
        <w:t>European Committee for Electrotechnical Standardization</w:t>
      </w:r>
    </w:p>
    <w:p w14:paraId="49F1FF2B" w14:textId="77777777" w:rsidR="006357A2" w:rsidRPr="006357A2" w:rsidRDefault="006357A2" w:rsidP="006357A2">
      <w:pPr>
        <w:pStyle w:val="Textnormy"/>
        <w:framePr w:hSpace="142" w:wrap="around" w:hAnchor="page" w:x="1022" w:yAlign="bottom"/>
        <w:spacing w:before="60" w:after="0"/>
        <w:jc w:val="center"/>
        <w:rPr>
          <w:b/>
          <w:noProof/>
        </w:rPr>
      </w:pPr>
      <w:r w:rsidRPr="006357A2">
        <w:rPr>
          <w:b/>
          <w:noProof/>
        </w:rPr>
        <w:t>Comité Européen de Normalisation Electrotechnique</w:t>
      </w:r>
    </w:p>
    <w:p w14:paraId="63D6E877" w14:textId="77777777" w:rsidR="006357A2" w:rsidRPr="006357A2" w:rsidRDefault="006357A2" w:rsidP="006357A2">
      <w:pPr>
        <w:pStyle w:val="Textnormy"/>
        <w:framePr w:hSpace="142" w:wrap="around" w:hAnchor="page" w:x="1022" w:yAlign="bottom"/>
        <w:spacing w:before="60" w:after="0"/>
        <w:jc w:val="center"/>
        <w:rPr>
          <w:b/>
          <w:noProof/>
        </w:rPr>
      </w:pPr>
      <w:r w:rsidRPr="006357A2">
        <w:rPr>
          <w:b/>
          <w:noProof/>
        </w:rPr>
        <w:t>Europäisches Komitee für Elektrotechnische Normung</w:t>
      </w:r>
    </w:p>
    <w:p w14:paraId="46A100E3" w14:textId="77777777" w:rsidR="006357A2" w:rsidRPr="006357A2" w:rsidRDefault="006357A2" w:rsidP="006357A2">
      <w:pPr>
        <w:pStyle w:val="Textnormy"/>
        <w:framePr w:hSpace="142" w:wrap="around" w:hAnchor="page" w:x="1022" w:yAlign="bottom"/>
        <w:spacing w:before="120" w:after="240"/>
        <w:jc w:val="center"/>
        <w:rPr>
          <w:b/>
        </w:rPr>
      </w:pPr>
      <w:r w:rsidRPr="006357A2">
        <w:rPr>
          <w:b/>
        </w:rPr>
        <w:t>Řídicí centrum CEN-CENELEC: Rue de la Science 23, B-1040 Brusel</w:t>
      </w:r>
    </w:p>
    <w:p w14:paraId="29ABCE45" w14:textId="77777777" w:rsidR="006357A2" w:rsidRPr="006357A2" w:rsidRDefault="006357A2" w:rsidP="006357A2">
      <w:pPr>
        <w:pStyle w:val="Poznmka"/>
        <w:framePr w:hSpace="142" w:wrap="around" w:hAnchor="page" w:x="1022" w:yAlign="bottom"/>
        <w:pBdr>
          <w:top w:val="single" w:sz="6" w:space="6" w:color="auto"/>
        </w:pBdr>
        <w:tabs>
          <w:tab w:val="right" w:pos="9923"/>
        </w:tabs>
        <w:spacing w:before="0" w:after="0"/>
        <w:ind w:left="1843" w:hanging="1843"/>
        <w:jc w:val="left"/>
      </w:pPr>
      <w:r w:rsidRPr="006357A2">
        <w:sym w:font="Times New Roman" w:char="00A9"/>
      </w:r>
      <w:r w:rsidRPr="006357A2">
        <w:t> 2004 CENELEC</w:t>
      </w:r>
      <w:r w:rsidRPr="006357A2">
        <w:tab/>
        <w:t xml:space="preserve">Veškerá práva pro využití v jakékoli formě a jakýmikoli prostředky </w:t>
      </w:r>
      <w:r w:rsidRPr="006357A2">
        <w:br/>
        <w:t>jsou celosvětově vyhrazena členům CENELEC.</w:t>
      </w:r>
      <w:r w:rsidRPr="006357A2">
        <w:br/>
      </w:r>
      <w:r w:rsidRPr="006357A2">
        <w:tab/>
        <w:t>Ref. č. CLC IEC/TS 60034-17:2004 E</w:t>
      </w:r>
    </w:p>
    <w:p w14:paraId="3F1503AF" w14:textId="77777777" w:rsidR="006357A2" w:rsidRPr="006357A2" w:rsidRDefault="006357A2" w:rsidP="006357A2">
      <w:pPr>
        <w:pStyle w:val="Textnormy"/>
      </w:pPr>
    </w:p>
    <w:p w14:paraId="243B2984" w14:textId="77777777" w:rsidR="006357A2" w:rsidRPr="006357A2" w:rsidRDefault="006357A2" w:rsidP="003314EE">
      <w:pPr>
        <w:pStyle w:val="Nadpiskapitoly"/>
        <w:pageBreakBefore/>
        <w:spacing w:before="0"/>
      </w:pPr>
      <w:bookmarkStart w:id="0" w:name="_Toc25747224"/>
      <w:r w:rsidRPr="006357A2">
        <w:lastRenderedPageBreak/>
        <w:t>Evropská předmluva</w:t>
      </w:r>
      <w:bookmarkEnd w:id="0"/>
    </w:p>
    <w:p w14:paraId="0CB477BC" w14:textId="77777777" w:rsidR="006357A2" w:rsidRPr="006357A2" w:rsidRDefault="006357A2" w:rsidP="006357A2">
      <w:pPr>
        <w:pStyle w:val="Textnormy"/>
      </w:pPr>
      <w:r w:rsidRPr="006357A2">
        <w:t>Tento dokument (CLC IEC/TS 60034-17:2004) sestávající z textu IEC/TS 60034-17:2002, opravy z června 2002 a opravy z dubna 2003, který vypracovala technická komise IEC/TC 2 </w:t>
      </w:r>
      <w:r w:rsidRPr="006357A2">
        <w:rPr>
          <w:i/>
        </w:rPr>
        <w:t>Točivé stroje</w:t>
      </w:r>
      <w:r w:rsidRPr="006357A2">
        <w:t>, byl předložen k formálnímu hlasování a byl schválen CENELEC jako CLC/TS 60034-17:2004.</w:t>
      </w:r>
    </w:p>
    <w:p w14:paraId="0262256B" w14:textId="77777777" w:rsidR="006357A2" w:rsidRDefault="006357A2" w:rsidP="006357A2">
      <w:pPr>
        <w:pStyle w:val="Textnormy"/>
      </w:pPr>
      <w:r w:rsidRPr="006357A2">
        <w:t>Upozorňuje se na možnost, že některé prvky tohoto dokumentu mohou být předmětem patentových práv. CENELEC nelze činit odpovědným za identifikaci jakéhokoliv nebo všech patentových práv.</w:t>
      </w:r>
    </w:p>
    <w:p w14:paraId="239A65AF" w14:textId="5F5C87A1" w:rsidR="00496A59" w:rsidRPr="00EE5427" w:rsidRDefault="00496A59" w:rsidP="00EE5427">
      <w:pPr>
        <w:pStyle w:val="Textnormy"/>
      </w:pPr>
      <w:bookmarkStart w:id="1" w:name="_Hlk150263677"/>
      <w:r w:rsidRPr="00EE5427">
        <w:t xml:space="preserve">Jakákoli zpětná vazba a otázky týkající se tohoto dokumentu mají být adresovány národnímu normalizačnímu </w:t>
      </w:r>
      <w:r w:rsidRPr="00375971">
        <w:t>orgánu uživatele. Úplný seznam těchto orgánů lze nalézt na webových stránkách CENELEC.</w:t>
      </w:r>
    </w:p>
    <w:p w14:paraId="0A421D3E" w14:textId="77777777" w:rsidR="006357A2" w:rsidRPr="006357A2" w:rsidRDefault="006357A2" w:rsidP="006357A2">
      <w:pPr>
        <w:pStyle w:val="Nadpislnku"/>
      </w:pPr>
      <w:bookmarkStart w:id="2" w:name="_Toc410468162"/>
      <w:bookmarkStart w:id="3" w:name="_Toc410469474"/>
      <w:bookmarkEnd w:id="1"/>
      <w:r w:rsidRPr="006357A2">
        <w:t>Oznámení o schválení</w:t>
      </w:r>
      <w:bookmarkEnd w:id="2"/>
      <w:bookmarkEnd w:id="3"/>
    </w:p>
    <w:p w14:paraId="25687CD0" w14:textId="5E2763FA" w:rsidR="006357A2" w:rsidRPr="006357A2" w:rsidRDefault="006357A2" w:rsidP="006357A2">
      <w:pPr>
        <w:pStyle w:val="Textnormy"/>
      </w:pPr>
      <w:r w:rsidRPr="006357A2">
        <w:t>Text</w:t>
      </w:r>
      <w:r w:rsidR="00434C30">
        <w:t xml:space="preserve"> </w:t>
      </w:r>
      <w:r w:rsidRPr="006357A2">
        <w:t xml:space="preserve">mezinárodní </w:t>
      </w:r>
      <w:r w:rsidR="00496A59">
        <w:t>technické specifikace</w:t>
      </w:r>
      <w:r w:rsidR="00496A59" w:rsidRPr="006357A2">
        <w:t xml:space="preserve"> </w:t>
      </w:r>
      <w:r w:rsidRPr="006357A2">
        <w:t xml:space="preserve">IEC/TS 60034-17:2004 + oprava z června 2002 + oprava z dubna 2003 byl schválen CENELEC jako evropská </w:t>
      </w:r>
      <w:r w:rsidR="00496A59">
        <w:t>technická specifikace</w:t>
      </w:r>
      <w:r w:rsidRPr="006357A2">
        <w:t xml:space="preserve"> bez jakýchkoliv modifikací.</w:t>
      </w:r>
    </w:p>
    <w:p w14:paraId="34890541" w14:textId="77777777" w:rsidR="006357A2" w:rsidRPr="006357A2" w:rsidRDefault="006357A2" w:rsidP="006357A2">
      <w:pPr>
        <w:pStyle w:val="Nadpiskapitoly"/>
        <w:pageBreakBefore/>
        <w:spacing w:before="0"/>
      </w:pPr>
      <w:r w:rsidRPr="006357A2">
        <w:lastRenderedPageBreak/>
        <w:t>Obsah</w:t>
      </w:r>
    </w:p>
    <w:p w14:paraId="079B6712" w14:textId="77777777" w:rsidR="006357A2" w:rsidRPr="006357A2" w:rsidRDefault="006357A2" w:rsidP="006357A2">
      <w:pPr>
        <w:pStyle w:val="Textnormy"/>
        <w:jc w:val="right"/>
        <w:rPr>
          <w:sz w:val="18"/>
          <w:szCs w:val="18"/>
        </w:rPr>
      </w:pPr>
      <w:r w:rsidRPr="006357A2">
        <w:rPr>
          <w:sz w:val="18"/>
          <w:szCs w:val="18"/>
        </w:rPr>
        <w:t>Strana</w:t>
      </w:r>
    </w:p>
    <w:p w14:paraId="6FCDCE34" w14:textId="77777777" w:rsidR="0028156D" w:rsidRPr="0005772C" w:rsidRDefault="0028156D" w:rsidP="0028156D">
      <w:pPr>
        <w:pStyle w:val="Obsah1"/>
        <w:rPr>
          <w:rFonts w:eastAsiaTheme="minorEastAsia" w:cs="Arial"/>
          <w:szCs w:val="18"/>
        </w:rPr>
      </w:pPr>
      <w:r w:rsidRPr="0005772C">
        <w:rPr>
          <w:rFonts w:cs="Arial"/>
          <w:color w:val="0000FF"/>
          <w:szCs w:val="18"/>
        </w:rPr>
        <w:fldChar w:fldCharType="begin"/>
      </w:r>
      <w:r w:rsidRPr="0005772C">
        <w:rPr>
          <w:rFonts w:cs="Arial"/>
          <w:color w:val="0000FF"/>
          <w:szCs w:val="18"/>
        </w:rPr>
        <w:instrText xml:space="preserve"> TOC \o "1-3" </w:instrText>
      </w:r>
      <w:r w:rsidRPr="0005772C">
        <w:rPr>
          <w:rFonts w:cs="Arial"/>
          <w:color w:val="0000FF"/>
          <w:szCs w:val="18"/>
        </w:rPr>
        <w:fldChar w:fldCharType="separate"/>
      </w:r>
      <w:r w:rsidRPr="0005772C">
        <w:rPr>
          <w:rFonts w:cs="Arial"/>
          <w:szCs w:val="18"/>
        </w:rPr>
        <w:t>Úvod</w:t>
      </w:r>
      <w:r w:rsidRPr="0005772C">
        <w:rPr>
          <w:rFonts w:cs="Arial"/>
          <w:szCs w:val="18"/>
        </w:rPr>
        <w:tab/>
      </w:r>
      <w:r w:rsidRPr="0005772C">
        <w:rPr>
          <w:rFonts w:cs="Arial"/>
          <w:szCs w:val="18"/>
        </w:rPr>
        <w:tab/>
      </w:r>
      <w:r w:rsidRPr="0005772C">
        <w:rPr>
          <w:rFonts w:cs="Arial"/>
          <w:szCs w:val="18"/>
        </w:rPr>
        <w:fldChar w:fldCharType="begin"/>
      </w:r>
      <w:r w:rsidRPr="0005772C">
        <w:rPr>
          <w:rFonts w:cs="Arial"/>
          <w:szCs w:val="18"/>
        </w:rPr>
        <w:instrText xml:space="preserve"> PAGEREF _Toc25747225 \h </w:instrText>
      </w:r>
      <w:r w:rsidRPr="0005772C">
        <w:rPr>
          <w:rFonts w:cs="Arial"/>
          <w:szCs w:val="18"/>
        </w:rPr>
      </w:r>
      <w:r w:rsidRPr="0005772C">
        <w:rPr>
          <w:rFonts w:cs="Arial"/>
          <w:szCs w:val="18"/>
        </w:rPr>
        <w:fldChar w:fldCharType="separate"/>
      </w:r>
      <w:r w:rsidRPr="0005772C">
        <w:rPr>
          <w:rFonts w:cs="Arial"/>
          <w:szCs w:val="18"/>
        </w:rPr>
        <w:t>8</w:t>
      </w:r>
      <w:r w:rsidRPr="0005772C">
        <w:rPr>
          <w:rFonts w:cs="Arial"/>
          <w:szCs w:val="18"/>
        </w:rPr>
        <w:fldChar w:fldCharType="end"/>
      </w:r>
    </w:p>
    <w:p w14:paraId="456C8CFA" w14:textId="77777777" w:rsidR="0028156D" w:rsidRPr="0005772C" w:rsidRDefault="0028156D">
      <w:pPr>
        <w:pStyle w:val="Obsah1"/>
        <w:rPr>
          <w:rFonts w:eastAsiaTheme="minorEastAsia" w:cs="Arial"/>
          <w:szCs w:val="18"/>
        </w:rPr>
      </w:pPr>
      <w:r w:rsidRPr="0005772C">
        <w:rPr>
          <w:rFonts w:cs="Arial"/>
          <w:b/>
          <w:szCs w:val="18"/>
        </w:rPr>
        <w:t>1</w:t>
      </w:r>
      <w:r w:rsidRPr="0005772C">
        <w:rPr>
          <w:rFonts w:cs="Arial"/>
          <w:szCs w:val="18"/>
        </w:rPr>
        <w:tab/>
        <w:t>Rozsah platnosti</w:t>
      </w:r>
      <w:r w:rsidRPr="0005772C">
        <w:rPr>
          <w:rFonts w:cs="Arial"/>
          <w:szCs w:val="18"/>
        </w:rPr>
        <w:tab/>
      </w:r>
      <w:r w:rsidRPr="0005772C">
        <w:rPr>
          <w:rFonts w:cs="Arial"/>
          <w:szCs w:val="18"/>
        </w:rPr>
        <w:fldChar w:fldCharType="begin"/>
      </w:r>
      <w:r w:rsidRPr="0005772C">
        <w:rPr>
          <w:rFonts w:cs="Arial"/>
          <w:szCs w:val="18"/>
        </w:rPr>
        <w:instrText xml:space="preserve"> PAGEREF _Toc25747226 \h </w:instrText>
      </w:r>
      <w:r w:rsidRPr="0005772C">
        <w:rPr>
          <w:rFonts w:cs="Arial"/>
          <w:szCs w:val="18"/>
        </w:rPr>
      </w:r>
      <w:r w:rsidRPr="0005772C">
        <w:rPr>
          <w:rFonts w:cs="Arial"/>
          <w:szCs w:val="18"/>
        </w:rPr>
        <w:fldChar w:fldCharType="separate"/>
      </w:r>
      <w:r w:rsidRPr="0005772C">
        <w:rPr>
          <w:rFonts w:cs="Arial"/>
          <w:szCs w:val="18"/>
        </w:rPr>
        <w:t>8</w:t>
      </w:r>
      <w:r w:rsidRPr="0005772C">
        <w:rPr>
          <w:rFonts w:cs="Arial"/>
          <w:szCs w:val="18"/>
        </w:rPr>
        <w:fldChar w:fldCharType="end"/>
      </w:r>
    </w:p>
    <w:p w14:paraId="70691A39" w14:textId="77777777" w:rsidR="0028156D" w:rsidRPr="0005772C" w:rsidRDefault="0028156D">
      <w:pPr>
        <w:pStyle w:val="Obsah1"/>
        <w:rPr>
          <w:rFonts w:eastAsiaTheme="minorEastAsia" w:cs="Arial"/>
          <w:szCs w:val="18"/>
        </w:rPr>
      </w:pPr>
      <w:r w:rsidRPr="0005772C">
        <w:rPr>
          <w:rFonts w:cs="Arial"/>
          <w:b/>
          <w:szCs w:val="18"/>
        </w:rPr>
        <w:t>2</w:t>
      </w:r>
      <w:r w:rsidRPr="0005772C">
        <w:rPr>
          <w:rFonts w:cs="Arial"/>
          <w:szCs w:val="18"/>
        </w:rPr>
        <w:tab/>
        <w:t>Citované dokumenty</w:t>
      </w:r>
      <w:r w:rsidRPr="0005772C">
        <w:rPr>
          <w:rFonts w:cs="Arial"/>
          <w:szCs w:val="18"/>
        </w:rPr>
        <w:tab/>
      </w:r>
      <w:r w:rsidRPr="0005772C">
        <w:rPr>
          <w:rFonts w:cs="Arial"/>
          <w:szCs w:val="18"/>
        </w:rPr>
        <w:fldChar w:fldCharType="begin"/>
      </w:r>
      <w:r w:rsidRPr="0005772C">
        <w:rPr>
          <w:rFonts w:cs="Arial"/>
          <w:szCs w:val="18"/>
        </w:rPr>
        <w:instrText xml:space="preserve"> PAGEREF _Toc25747227 \h </w:instrText>
      </w:r>
      <w:r w:rsidRPr="0005772C">
        <w:rPr>
          <w:rFonts w:cs="Arial"/>
          <w:szCs w:val="18"/>
        </w:rPr>
      </w:r>
      <w:r w:rsidRPr="0005772C">
        <w:rPr>
          <w:rFonts w:cs="Arial"/>
          <w:szCs w:val="18"/>
        </w:rPr>
        <w:fldChar w:fldCharType="separate"/>
      </w:r>
      <w:r w:rsidRPr="0005772C">
        <w:rPr>
          <w:rFonts w:cs="Arial"/>
          <w:szCs w:val="18"/>
        </w:rPr>
        <w:t>8</w:t>
      </w:r>
      <w:r w:rsidRPr="0005772C">
        <w:rPr>
          <w:rFonts w:cs="Arial"/>
          <w:szCs w:val="18"/>
        </w:rPr>
        <w:fldChar w:fldCharType="end"/>
      </w:r>
    </w:p>
    <w:p w14:paraId="0B2000E2" w14:textId="77777777" w:rsidR="0028156D" w:rsidRPr="0005772C" w:rsidRDefault="0028156D">
      <w:pPr>
        <w:pStyle w:val="Obsah1"/>
        <w:rPr>
          <w:rFonts w:eastAsiaTheme="minorEastAsia" w:cs="Arial"/>
          <w:szCs w:val="18"/>
        </w:rPr>
      </w:pPr>
      <w:r w:rsidRPr="0005772C">
        <w:rPr>
          <w:rFonts w:cs="Arial"/>
          <w:b/>
          <w:szCs w:val="18"/>
        </w:rPr>
        <w:t>3</w:t>
      </w:r>
      <w:r w:rsidRPr="0005772C">
        <w:rPr>
          <w:rFonts w:cs="Arial"/>
          <w:szCs w:val="18"/>
        </w:rPr>
        <w:tab/>
        <w:t>Charakteristiky motoru</w:t>
      </w:r>
      <w:r w:rsidRPr="0005772C">
        <w:rPr>
          <w:rFonts w:cs="Arial"/>
          <w:szCs w:val="18"/>
        </w:rPr>
        <w:tab/>
      </w:r>
      <w:r w:rsidRPr="0005772C">
        <w:rPr>
          <w:rFonts w:cs="Arial"/>
          <w:szCs w:val="18"/>
        </w:rPr>
        <w:fldChar w:fldCharType="begin"/>
      </w:r>
      <w:r w:rsidRPr="0005772C">
        <w:rPr>
          <w:rFonts w:cs="Arial"/>
          <w:szCs w:val="18"/>
        </w:rPr>
        <w:instrText xml:space="preserve"> PAGEREF _Toc25747228 \h </w:instrText>
      </w:r>
      <w:r w:rsidRPr="0005772C">
        <w:rPr>
          <w:rFonts w:cs="Arial"/>
          <w:szCs w:val="18"/>
        </w:rPr>
      </w:r>
      <w:r w:rsidRPr="0005772C">
        <w:rPr>
          <w:rFonts w:cs="Arial"/>
          <w:szCs w:val="18"/>
        </w:rPr>
        <w:fldChar w:fldCharType="separate"/>
      </w:r>
      <w:r w:rsidRPr="0005772C">
        <w:rPr>
          <w:rFonts w:cs="Arial"/>
          <w:szCs w:val="18"/>
        </w:rPr>
        <w:t>8</w:t>
      </w:r>
      <w:r w:rsidRPr="0005772C">
        <w:rPr>
          <w:rFonts w:cs="Arial"/>
          <w:szCs w:val="18"/>
        </w:rPr>
        <w:fldChar w:fldCharType="end"/>
      </w:r>
    </w:p>
    <w:p w14:paraId="65CEA176" w14:textId="77777777" w:rsidR="0028156D" w:rsidRPr="0005772C" w:rsidRDefault="0028156D">
      <w:pPr>
        <w:pStyle w:val="Obsah1"/>
        <w:rPr>
          <w:rFonts w:eastAsiaTheme="minorEastAsia" w:cs="Arial"/>
          <w:szCs w:val="18"/>
        </w:rPr>
      </w:pPr>
      <w:r w:rsidRPr="0005772C">
        <w:rPr>
          <w:rFonts w:cs="Arial"/>
          <w:b/>
          <w:szCs w:val="18"/>
        </w:rPr>
        <w:t>Příloha ZA</w:t>
      </w:r>
      <w:r w:rsidRPr="0005772C">
        <w:rPr>
          <w:rFonts w:cs="Arial"/>
          <w:szCs w:val="18"/>
        </w:rPr>
        <w:t xml:space="preserve"> (normativní)</w:t>
      </w:r>
      <w:r w:rsidRPr="0005772C">
        <w:rPr>
          <w:rFonts w:cs="Arial"/>
          <w:szCs w:val="18"/>
        </w:rPr>
        <w:tab/>
      </w:r>
      <w:r w:rsidRPr="0005772C">
        <w:rPr>
          <w:rFonts w:cs="Arial"/>
          <w:szCs w:val="18"/>
        </w:rPr>
        <w:fldChar w:fldCharType="begin"/>
      </w:r>
      <w:r w:rsidRPr="0005772C">
        <w:rPr>
          <w:rFonts w:cs="Arial"/>
          <w:szCs w:val="18"/>
        </w:rPr>
        <w:instrText xml:space="preserve"> PAGEREF _Toc25747229 \h </w:instrText>
      </w:r>
      <w:r w:rsidRPr="0005772C">
        <w:rPr>
          <w:rFonts w:cs="Arial"/>
          <w:szCs w:val="18"/>
        </w:rPr>
      </w:r>
      <w:r w:rsidRPr="0005772C">
        <w:rPr>
          <w:rFonts w:cs="Arial"/>
          <w:szCs w:val="18"/>
        </w:rPr>
        <w:fldChar w:fldCharType="separate"/>
      </w:r>
      <w:r w:rsidRPr="0005772C">
        <w:rPr>
          <w:rFonts w:cs="Arial"/>
          <w:szCs w:val="18"/>
        </w:rPr>
        <w:t>9</w:t>
      </w:r>
      <w:r w:rsidRPr="0005772C">
        <w:rPr>
          <w:rFonts w:cs="Arial"/>
          <w:szCs w:val="18"/>
        </w:rPr>
        <w:fldChar w:fldCharType="end"/>
      </w:r>
    </w:p>
    <w:p w14:paraId="43151105" w14:textId="77777777" w:rsidR="0028156D" w:rsidRDefault="0028156D" w:rsidP="0028156D">
      <w:pPr>
        <w:pStyle w:val="Textnormy"/>
      </w:pPr>
      <w:r w:rsidRPr="0005772C">
        <w:rPr>
          <w:rFonts w:cs="Arial"/>
          <w:sz w:val="18"/>
          <w:szCs w:val="18"/>
        </w:rPr>
        <w:fldChar w:fldCharType="end"/>
      </w:r>
    </w:p>
    <w:p w14:paraId="1A3ACEE6" w14:textId="77777777" w:rsidR="006357A2" w:rsidRPr="006357A2" w:rsidRDefault="006357A2" w:rsidP="006357A2">
      <w:pPr>
        <w:pStyle w:val="Nadpis1"/>
        <w:pageBreakBefore/>
        <w:spacing w:before="0"/>
      </w:pPr>
      <w:bookmarkStart w:id="4" w:name="_Toc90373667"/>
      <w:bookmarkStart w:id="5" w:name="_Toc94327702"/>
      <w:bookmarkStart w:id="6" w:name="_Toc113953343"/>
      <w:bookmarkStart w:id="7" w:name="_Toc25747225"/>
      <w:r w:rsidRPr="006357A2">
        <w:lastRenderedPageBreak/>
        <w:t>Úvod</w:t>
      </w:r>
      <w:bookmarkEnd w:id="4"/>
      <w:bookmarkEnd w:id="5"/>
      <w:bookmarkEnd w:id="6"/>
      <w:bookmarkEnd w:id="7"/>
    </w:p>
    <w:p w14:paraId="5D201E7A" w14:textId="77777777" w:rsidR="006357A2" w:rsidRPr="006357A2" w:rsidRDefault="006357A2" w:rsidP="006357A2">
      <w:pPr>
        <w:pStyle w:val="Textnormy"/>
      </w:pPr>
      <w:r w:rsidRPr="006357A2">
        <w:t>Technické charakteristiky a provozní údaje pro pohony s asynchronními motory nakrátko napájenými z měničů jsou ovlivňovány celým systémem zahrnujícím systém napájení, měnič, asynchronní motor, mechanické hřídelové vedení a řídicí zařízení. Každá z těchto součástí existuje v mnoha typech provedení. Veškeré hodnoty uvedené v této technické specifikaci jsou proto pouze informativní.</w:t>
      </w:r>
    </w:p>
    <w:p w14:paraId="343E0EC1" w14:textId="77777777" w:rsidR="006357A2" w:rsidRPr="006357A2" w:rsidRDefault="006357A2" w:rsidP="006357A2">
      <w:pPr>
        <w:pStyle w:val="Textnormy"/>
      </w:pPr>
      <w:r w:rsidRPr="006357A2">
        <w:t>Vzhledem ke složitým technickým vzájemným vlivům působícím v rámci systému a rozmanitosti pracovních podmínek přesahuje stanovení číselných nebo mezních hodnot všech veličin, které jsou důležité pro návrh pohonu, rozsah platnosti a předmět této technické specifikace.</w:t>
      </w:r>
    </w:p>
    <w:p w14:paraId="4BC8D32F" w14:textId="77777777" w:rsidR="006357A2" w:rsidRPr="006357A2" w:rsidRDefault="006357A2" w:rsidP="006357A2">
      <w:pPr>
        <w:pStyle w:val="Textnormy"/>
      </w:pPr>
      <w:r w:rsidRPr="006357A2">
        <w:t>V praxi jsou pohony stále více sestaveny ze součástí vyráběných různými výrobci. Předmětem této technické specifikace je vysvětlit a stanovit, pokud je to možné, kritéria pro volbu součástí a jejich vliv na technické charakteristiky pohonu.</w:t>
      </w:r>
    </w:p>
    <w:p w14:paraId="725AA071" w14:textId="77777777" w:rsidR="006357A2" w:rsidRPr="006357A2" w:rsidRDefault="006357A2" w:rsidP="003314EE">
      <w:pPr>
        <w:pStyle w:val="Nadpis1"/>
        <w:pageBreakBefore/>
        <w:spacing w:before="0"/>
      </w:pPr>
      <w:bookmarkStart w:id="8" w:name="_Toc90373668"/>
      <w:bookmarkStart w:id="9" w:name="_Toc94327703"/>
      <w:bookmarkStart w:id="10" w:name="_Toc113953344"/>
      <w:bookmarkStart w:id="11" w:name="_Toc25747226"/>
      <w:r w:rsidRPr="006357A2">
        <w:lastRenderedPageBreak/>
        <w:t>1</w:t>
      </w:r>
      <w:r w:rsidRPr="0028156D">
        <w:rPr>
          <w:rFonts w:eastAsia="Arial Unicode MS" w:cs="Arial"/>
        </w:rPr>
        <w:t> </w:t>
      </w:r>
      <w:r w:rsidRPr="006357A2">
        <w:t>Rozsah platnosti</w:t>
      </w:r>
      <w:bookmarkEnd w:id="8"/>
      <w:bookmarkEnd w:id="9"/>
      <w:bookmarkEnd w:id="10"/>
      <w:bookmarkEnd w:id="11"/>
    </w:p>
    <w:p w14:paraId="19C9FE3F" w14:textId="77777777" w:rsidR="006357A2" w:rsidRPr="006357A2" w:rsidRDefault="006357A2" w:rsidP="006357A2">
      <w:pPr>
        <w:pStyle w:val="Textnormy"/>
      </w:pPr>
      <w:bookmarkStart w:id="12" w:name="_Toc90373669"/>
      <w:r w:rsidRPr="006357A2">
        <w:t>Předmětem této technické specifikace je ustálený provoz asynchronních motorů nakrátko, náležejících do rozsahu platnosti IEC 60034-12, které jsou napájeny z měničů. Technická specifikace se vztahuje na provoz v celém rozsahu nastavení otáček, nezabývá se však rozběhem ani přechodnými jevy.</w:t>
      </w:r>
    </w:p>
    <w:p w14:paraId="752B7FA4" w14:textId="77777777" w:rsidR="006357A2" w:rsidRPr="006357A2" w:rsidRDefault="006357A2" w:rsidP="006357A2">
      <w:pPr>
        <w:pStyle w:val="Textnormy"/>
      </w:pPr>
      <w:r w:rsidRPr="006357A2">
        <w:t>Berou se v úvahu pouze měniče nepřímého typu. Tento typ zahrnuje měniče s vnuceným stejnosměrným proudem v meziobvodu (proudové měniče) a měniče s vnuceným stejnosměrným napětím (napěťové měniče), buď blokového typu, nebo typu s pulzním řízením, bez omezení počtu, šířky nebo kmitočet impulzů. Pro účely této technické specifikace může měnič zahrnovat jakýkoliv typ elektronické spínací součástky, například tranzistory (bipolární nebo MOSFET), IGBT, tyristory, GTO tyristory atd., s analogovou nebo digitální řídicí elektronikou.</w:t>
      </w:r>
    </w:p>
    <w:p w14:paraId="20CC9EBB" w14:textId="77777777" w:rsidR="006357A2" w:rsidRPr="006357A2" w:rsidRDefault="006357A2" w:rsidP="006357A2">
      <w:pPr>
        <w:pStyle w:val="Nadpis1"/>
      </w:pPr>
      <w:bookmarkStart w:id="13" w:name="_Toc94327704"/>
      <w:bookmarkStart w:id="14" w:name="_Toc113953345"/>
      <w:bookmarkStart w:id="15" w:name="_Toc25747227"/>
      <w:r w:rsidRPr="006357A2">
        <w:t>2</w:t>
      </w:r>
      <w:bookmarkEnd w:id="12"/>
      <w:bookmarkEnd w:id="13"/>
      <w:bookmarkEnd w:id="14"/>
      <w:r w:rsidR="0028156D" w:rsidRPr="0028156D">
        <w:rPr>
          <w:rFonts w:eastAsia="Arial Unicode MS" w:cs="Arial"/>
        </w:rPr>
        <w:t> </w:t>
      </w:r>
      <w:r w:rsidRPr="006357A2">
        <w:t>Citované dokumenty</w:t>
      </w:r>
      <w:bookmarkEnd w:id="15"/>
    </w:p>
    <w:p w14:paraId="64F231FD" w14:textId="77777777" w:rsidR="006357A2" w:rsidRPr="006357A2" w:rsidRDefault="006357A2" w:rsidP="006357A2">
      <w:pPr>
        <w:pStyle w:val="Textnormy"/>
        <w:rPr>
          <w:rFonts w:cs="Arial"/>
        </w:rPr>
      </w:pPr>
      <w:r w:rsidRPr="006357A2">
        <w:rPr>
          <w:rFonts w:cs="Arial"/>
        </w:rPr>
        <w:t xml:space="preserve">Na dále uvedené dokumenty se v textu odkazuje takovým způsobem, že celý jejich obsah nebo jeho část představují požadavky tohoto dokumentu. U datovaných citovaných dokumentů se používají pouze datované citované dokumenty. U nedatovaných citovaných dokumentů se používá pouze nejnovější vydání citovaného dokumentu (včetně všech změn). </w:t>
      </w:r>
    </w:p>
    <w:p w14:paraId="3A74B0BF" w14:textId="32CC1AF0" w:rsidR="006357A2" w:rsidRPr="006357A2" w:rsidRDefault="006357A2" w:rsidP="00DF616B">
      <w:pPr>
        <w:pStyle w:val="TextnormyUS"/>
        <w:rPr>
          <w:lang w:val="en-US"/>
        </w:rPr>
      </w:pPr>
      <w:r w:rsidRPr="006357A2">
        <w:rPr>
          <w:lang w:val="en-US"/>
        </w:rPr>
        <w:t>IEC 60034-1:1999</w:t>
      </w:r>
      <w:r w:rsidRPr="0028156D">
        <w:rPr>
          <w:rFonts w:eastAsia="Arial Unicode MS" w:cs="Arial"/>
          <w:lang w:val="en-US"/>
        </w:rPr>
        <w:t> </w:t>
      </w:r>
      <w:r w:rsidRPr="006357A2">
        <w:rPr>
          <w:lang w:val="en-US"/>
        </w:rPr>
        <w:t>Rotating electrical machines – Part 1: Rating and performance</w:t>
      </w:r>
    </w:p>
    <w:p w14:paraId="29AD5034" w14:textId="77777777" w:rsidR="006357A2" w:rsidRPr="006357A2" w:rsidRDefault="006357A2" w:rsidP="006357A2">
      <w:pPr>
        <w:pStyle w:val="Textnormy"/>
        <w:rPr>
          <w:i/>
        </w:rPr>
      </w:pPr>
      <w:r w:rsidRPr="006357A2">
        <w:rPr>
          <w:i/>
        </w:rPr>
        <w:t>(Točivé elektrické stroje – Část 1: Jmenovité údaje a vlastnosti)</w:t>
      </w:r>
    </w:p>
    <w:p w14:paraId="78EA92EF" w14:textId="77777777" w:rsidR="006357A2" w:rsidRPr="006357A2" w:rsidRDefault="006357A2" w:rsidP="00DF616B">
      <w:pPr>
        <w:pStyle w:val="TextnormyUS"/>
        <w:rPr>
          <w:lang w:val="en-US"/>
        </w:rPr>
      </w:pPr>
      <w:r w:rsidRPr="006357A2">
        <w:rPr>
          <w:lang w:val="en-US"/>
        </w:rPr>
        <w:t>IEC 60034-6:1991</w:t>
      </w:r>
      <w:r w:rsidRPr="0028156D">
        <w:rPr>
          <w:rFonts w:eastAsia="Arial Unicode MS" w:cs="Arial"/>
          <w:lang w:val="en-US"/>
        </w:rPr>
        <w:t> </w:t>
      </w:r>
      <w:r w:rsidRPr="006357A2">
        <w:rPr>
          <w:lang w:val="en-US"/>
        </w:rPr>
        <w:t>Rotating electrical machines – Part 6: Methods of cooling (IC Code)</w:t>
      </w:r>
    </w:p>
    <w:p w14:paraId="5A13D5EE" w14:textId="77777777" w:rsidR="006357A2" w:rsidRPr="006357A2" w:rsidRDefault="006357A2" w:rsidP="006357A2">
      <w:pPr>
        <w:pStyle w:val="Textnormy"/>
        <w:rPr>
          <w:i/>
          <w:lang w:val="en-US"/>
        </w:rPr>
      </w:pPr>
      <w:r w:rsidRPr="006357A2">
        <w:rPr>
          <w:rFonts w:cs="Arial"/>
          <w:i/>
        </w:rPr>
        <w:t>(</w:t>
      </w:r>
      <w:r w:rsidRPr="006357A2">
        <w:rPr>
          <w:i/>
        </w:rPr>
        <w:t>Točivé elektrické stroje – Část 6: Metody chlazení (IC kód)</w:t>
      </w:r>
      <w:r w:rsidRPr="006357A2">
        <w:rPr>
          <w:rFonts w:cs="Arial"/>
          <w:i/>
        </w:rPr>
        <w:t>)</w:t>
      </w:r>
    </w:p>
    <w:p w14:paraId="4602F615" w14:textId="77777777" w:rsidR="006357A2" w:rsidRPr="006357A2" w:rsidRDefault="006357A2" w:rsidP="006357A2">
      <w:pPr>
        <w:pStyle w:val="Nadpis1"/>
      </w:pPr>
      <w:bookmarkStart w:id="16" w:name="_Toc94327705"/>
      <w:bookmarkStart w:id="17" w:name="_Toc113953346"/>
      <w:bookmarkStart w:id="18" w:name="_Toc25747228"/>
      <w:r w:rsidRPr="006357A2">
        <w:t>3</w:t>
      </w:r>
      <w:r w:rsidR="0028156D" w:rsidRPr="0028156D">
        <w:rPr>
          <w:rFonts w:eastAsia="Arial Unicode MS" w:cs="Arial"/>
        </w:rPr>
        <w:t> </w:t>
      </w:r>
      <w:r w:rsidRPr="006357A2">
        <w:t>Charakteristiky motoru</w:t>
      </w:r>
      <w:bookmarkEnd w:id="16"/>
      <w:bookmarkEnd w:id="17"/>
      <w:bookmarkEnd w:id="18"/>
    </w:p>
    <w:p w14:paraId="7AA76FAC" w14:textId="77777777" w:rsidR="006357A2" w:rsidRPr="006357A2" w:rsidRDefault="006357A2" w:rsidP="006357A2">
      <w:pPr>
        <w:pStyle w:val="Textnormy"/>
      </w:pPr>
      <w:r w:rsidRPr="006357A2">
        <w:t xml:space="preserve">Výstupní proud proudového měniče prochází během doby komutace statorovým vinutím motoru. Pro návrh </w:t>
      </w:r>
      <w:r w:rsidR="000E3803">
        <w:br/>
      </w:r>
      <w:r w:rsidRPr="006357A2">
        <w:t>komutačních obvodů je tedy důležitá znalost náhradního obvodu motoru.</w:t>
      </w:r>
    </w:p>
    <w:p w14:paraId="047416D8" w14:textId="77777777" w:rsidR="003314EE" w:rsidRPr="003314EE" w:rsidRDefault="006357A2" w:rsidP="003314EE">
      <w:pPr>
        <w:pStyle w:val="Nadpis1"/>
        <w:pageBreakBefore/>
        <w:spacing w:before="0"/>
      </w:pPr>
      <w:bookmarkStart w:id="19" w:name="_Toc365968767"/>
      <w:bookmarkStart w:id="20" w:name="_Toc367082932"/>
      <w:bookmarkStart w:id="21" w:name="_Toc372429547"/>
      <w:bookmarkStart w:id="22" w:name="_Toc375302781"/>
      <w:bookmarkStart w:id="23" w:name="_Toc379098938"/>
      <w:bookmarkStart w:id="24" w:name="_Toc380735110"/>
      <w:bookmarkStart w:id="25" w:name="_Toc380735210"/>
      <w:bookmarkStart w:id="26" w:name="_Toc380825395"/>
      <w:bookmarkStart w:id="27" w:name="_Toc380827284"/>
      <w:bookmarkStart w:id="28" w:name="_Toc380886230"/>
      <w:bookmarkStart w:id="29" w:name="_Toc380886268"/>
      <w:bookmarkStart w:id="30" w:name="_Toc380886378"/>
      <w:bookmarkStart w:id="31" w:name="_Toc380886475"/>
      <w:bookmarkStart w:id="32" w:name="_Toc380974473"/>
      <w:bookmarkStart w:id="33" w:name="_Toc459535873"/>
      <w:bookmarkStart w:id="34" w:name="_Toc486739060"/>
      <w:bookmarkStart w:id="35" w:name="_Toc486740682"/>
      <w:bookmarkStart w:id="36" w:name="_Toc4487166"/>
      <w:bookmarkStart w:id="37" w:name="_Toc4487258"/>
      <w:bookmarkStart w:id="38" w:name="_Toc25747229"/>
      <w:r w:rsidRPr="006357A2">
        <w:lastRenderedPageBreak/>
        <w:t xml:space="preserve">Příloha ZA </w:t>
      </w:r>
      <w:r w:rsidRPr="006357A2">
        <w:rPr>
          <w:b w:val="0"/>
        </w:rPr>
        <w:t>(normativní)</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749D0B99" w14:textId="77777777" w:rsidR="006357A2" w:rsidRPr="006357A2" w:rsidRDefault="006357A2" w:rsidP="00142CE4">
      <w:pPr>
        <w:pStyle w:val="Nadpis1"/>
      </w:pPr>
      <w:bookmarkStart w:id="39" w:name="_Toc362784954"/>
      <w:bookmarkStart w:id="40" w:name="_Toc362827300"/>
      <w:bookmarkStart w:id="41" w:name="_Toc363351499"/>
      <w:bookmarkStart w:id="42" w:name="_Toc363885952"/>
      <w:bookmarkStart w:id="43" w:name="_Toc366917135"/>
      <w:bookmarkStart w:id="44" w:name="_Toc367082933"/>
      <w:bookmarkStart w:id="45" w:name="_Toc372429548"/>
      <w:bookmarkStart w:id="46" w:name="_Toc375302782"/>
      <w:bookmarkStart w:id="47" w:name="_Toc379098939"/>
      <w:bookmarkStart w:id="48" w:name="_Toc380735111"/>
      <w:bookmarkStart w:id="49" w:name="_Toc380735211"/>
      <w:bookmarkStart w:id="50" w:name="_Toc380825396"/>
      <w:bookmarkStart w:id="51" w:name="_Toc380827285"/>
      <w:bookmarkStart w:id="52" w:name="_Toc380886231"/>
      <w:bookmarkStart w:id="53" w:name="_Toc380886269"/>
      <w:bookmarkStart w:id="54" w:name="_Toc380886379"/>
      <w:bookmarkStart w:id="55" w:name="_Toc380886476"/>
      <w:bookmarkStart w:id="56" w:name="_Toc486740683"/>
      <w:bookmarkStart w:id="57" w:name="_Toc4487167"/>
      <w:r w:rsidRPr="006357A2">
        <w:t>Normativní odkazy na mezinárodní publikace</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sidRPr="006357A2">
        <w:t xml:space="preserve"> </w:t>
      </w:r>
      <w:bookmarkEnd w:id="56"/>
      <w:bookmarkEnd w:id="57"/>
      <w:r w:rsidRPr="006357A2">
        <w:t>a jim odpovídající evropské publikace</w:t>
      </w:r>
    </w:p>
    <w:p w14:paraId="47D2D016" w14:textId="77777777" w:rsidR="006357A2" w:rsidRPr="006357A2" w:rsidRDefault="006357A2" w:rsidP="006357A2">
      <w:pPr>
        <w:pStyle w:val="Textnormy"/>
        <w:rPr>
          <w:rFonts w:cs="Arial"/>
        </w:rPr>
      </w:pPr>
      <w:r w:rsidRPr="006357A2">
        <w:rPr>
          <w:rFonts w:cs="Arial"/>
        </w:rPr>
        <w:t xml:space="preserve">Na dále uvedené dokumenty se v textu odkazuje takovým způsobem, že celý jejich obsah nebo jeho část představují požadavky tohoto dokumentu. U datovaných citovaných dokumentů se používají pouze datované citované dokumenty. U nedatovaných citovaných dokumentů se používá pouze nejnovější vydání citovaného dokumentu (včetně všech změn). </w:t>
      </w:r>
    </w:p>
    <w:p w14:paraId="7D85BE38" w14:textId="77777777" w:rsidR="006357A2" w:rsidRPr="006357A2" w:rsidRDefault="0028156D" w:rsidP="006357A2">
      <w:pPr>
        <w:pStyle w:val="Poznmka"/>
        <w:spacing w:after="120"/>
        <w:rPr>
          <w:snapToGrid w:val="0"/>
        </w:rPr>
      </w:pPr>
      <w:r>
        <w:t>POZNÁMKA 1</w:t>
      </w:r>
      <w:r>
        <w:t> </w:t>
      </w:r>
      <w:r w:rsidR="006357A2" w:rsidRPr="006357A2">
        <w:rPr>
          <w:snapToGrid w:val="0"/>
        </w:rPr>
        <w:t>Jestliže byla mezinárodní publikace upravena společnou modifikací, vyznačenou pomocí (mod), používá se příslušná EN/HD.</w:t>
      </w:r>
    </w:p>
    <w:p w14:paraId="0EDF6F92" w14:textId="77777777" w:rsidR="006357A2" w:rsidRPr="006357A2" w:rsidRDefault="0028156D" w:rsidP="006357A2">
      <w:pPr>
        <w:pStyle w:val="Poznmka"/>
        <w:spacing w:before="0"/>
      </w:pPr>
      <w:r>
        <w:t>POZNÁMKA 2</w:t>
      </w:r>
      <w:r>
        <w:t> </w:t>
      </w:r>
      <w:r w:rsidR="006357A2" w:rsidRPr="006357A2">
        <w:t xml:space="preserve">Aktuální informace o nejnovějších verzích evropských norem uvedených v této příloze jsou k dispozici na: </w:t>
      </w:r>
      <w:hyperlink r:id="rId19" w:history="1">
        <w:r w:rsidR="006357A2" w:rsidRPr="006357A2">
          <w:rPr>
            <w:rStyle w:val="Hypertextovodkaz"/>
            <w:rFonts w:cs="Arial"/>
            <w:szCs w:val="18"/>
          </w:rPr>
          <w:t>www.cenelec.eu</w:t>
        </w:r>
      </w:hyperlink>
      <w:r w:rsidR="006357A2" w:rsidRPr="006357A2">
        <w:t>.</w:t>
      </w:r>
    </w:p>
    <w:tbl>
      <w:tblPr>
        <w:tblW w:w="9923" w:type="dxa"/>
        <w:jc w:val="center"/>
        <w:tblLayout w:type="fixed"/>
        <w:tblCellMar>
          <w:left w:w="0" w:type="dxa"/>
          <w:right w:w="0" w:type="dxa"/>
        </w:tblCellMar>
        <w:tblLook w:val="0000" w:firstRow="0" w:lastRow="0" w:firstColumn="0" w:lastColumn="0" w:noHBand="0" w:noVBand="0"/>
      </w:tblPr>
      <w:tblGrid>
        <w:gridCol w:w="1559"/>
        <w:gridCol w:w="991"/>
        <w:gridCol w:w="5078"/>
        <w:gridCol w:w="1559"/>
        <w:gridCol w:w="736"/>
      </w:tblGrid>
      <w:tr w:rsidR="006357A2" w:rsidRPr="006357A2" w14:paraId="582D0014" w14:textId="77777777" w:rsidTr="008A547F">
        <w:trPr>
          <w:jc w:val="center"/>
        </w:trPr>
        <w:tc>
          <w:tcPr>
            <w:tcW w:w="1559" w:type="dxa"/>
          </w:tcPr>
          <w:p w14:paraId="2CC7E605" w14:textId="77777777" w:rsidR="006357A2" w:rsidRPr="006357A2" w:rsidRDefault="006357A2" w:rsidP="007F0A44">
            <w:pPr>
              <w:pStyle w:val="Textnormy"/>
              <w:spacing w:before="120"/>
              <w:ind w:right="246"/>
              <w:jc w:val="left"/>
            </w:pPr>
            <w:r w:rsidRPr="006357A2">
              <w:rPr>
                <w:u w:val="single"/>
              </w:rPr>
              <w:t>Publikace</w:t>
            </w:r>
          </w:p>
        </w:tc>
        <w:tc>
          <w:tcPr>
            <w:tcW w:w="991" w:type="dxa"/>
          </w:tcPr>
          <w:p w14:paraId="0BD00737" w14:textId="77777777" w:rsidR="006357A2" w:rsidRPr="006357A2" w:rsidRDefault="006357A2" w:rsidP="007F0A44">
            <w:pPr>
              <w:pStyle w:val="Textnormy"/>
              <w:spacing w:before="120"/>
              <w:ind w:right="246"/>
              <w:jc w:val="left"/>
            </w:pPr>
            <w:r w:rsidRPr="006357A2">
              <w:rPr>
                <w:u w:val="single"/>
              </w:rPr>
              <w:t>Rok</w:t>
            </w:r>
          </w:p>
        </w:tc>
        <w:tc>
          <w:tcPr>
            <w:tcW w:w="5078" w:type="dxa"/>
          </w:tcPr>
          <w:p w14:paraId="46B181B3" w14:textId="77777777" w:rsidR="006357A2" w:rsidRPr="006357A2" w:rsidRDefault="006357A2" w:rsidP="007F0A44">
            <w:pPr>
              <w:pStyle w:val="Textnormy"/>
              <w:spacing w:before="120"/>
              <w:ind w:right="246"/>
              <w:jc w:val="left"/>
            </w:pPr>
            <w:r w:rsidRPr="006357A2">
              <w:rPr>
                <w:u w:val="single"/>
              </w:rPr>
              <w:t>Název</w:t>
            </w:r>
          </w:p>
        </w:tc>
        <w:tc>
          <w:tcPr>
            <w:tcW w:w="1559" w:type="dxa"/>
          </w:tcPr>
          <w:p w14:paraId="22C99D20" w14:textId="77777777" w:rsidR="006357A2" w:rsidRPr="006357A2" w:rsidRDefault="006357A2" w:rsidP="007F0A44">
            <w:pPr>
              <w:pStyle w:val="Textnormy"/>
              <w:spacing w:before="120"/>
              <w:ind w:right="246"/>
              <w:jc w:val="left"/>
            </w:pPr>
            <w:r w:rsidRPr="006357A2">
              <w:rPr>
                <w:u w:val="single"/>
              </w:rPr>
              <w:t>EN/HD</w:t>
            </w:r>
          </w:p>
        </w:tc>
        <w:tc>
          <w:tcPr>
            <w:tcW w:w="736" w:type="dxa"/>
          </w:tcPr>
          <w:p w14:paraId="2B9D9A16" w14:textId="77777777" w:rsidR="006357A2" w:rsidRPr="006357A2" w:rsidRDefault="006357A2" w:rsidP="007F0A44">
            <w:pPr>
              <w:pStyle w:val="Textnormy"/>
              <w:spacing w:before="120"/>
              <w:jc w:val="left"/>
              <w:rPr>
                <w:u w:val="single"/>
              </w:rPr>
            </w:pPr>
            <w:r w:rsidRPr="006357A2">
              <w:rPr>
                <w:u w:val="single"/>
              </w:rPr>
              <w:t>Rok</w:t>
            </w:r>
          </w:p>
        </w:tc>
      </w:tr>
      <w:tr w:rsidR="006357A2" w:rsidRPr="006357A2" w14:paraId="208E7B16" w14:textId="77777777" w:rsidTr="008A547F">
        <w:trPr>
          <w:jc w:val="center"/>
        </w:trPr>
        <w:tc>
          <w:tcPr>
            <w:tcW w:w="1559" w:type="dxa"/>
          </w:tcPr>
          <w:p w14:paraId="5168E10C" w14:textId="77777777" w:rsidR="006357A2" w:rsidRPr="006357A2" w:rsidRDefault="006357A2" w:rsidP="007F0A44">
            <w:pPr>
              <w:pStyle w:val="Textnormy"/>
              <w:ind w:right="246"/>
              <w:jc w:val="left"/>
            </w:pPr>
            <w:r w:rsidRPr="006357A2">
              <w:t>IEC 60034-1</w:t>
            </w:r>
          </w:p>
        </w:tc>
        <w:tc>
          <w:tcPr>
            <w:tcW w:w="991" w:type="dxa"/>
          </w:tcPr>
          <w:p w14:paraId="3F8E64C6" w14:textId="5575CBDB" w:rsidR="006357A2" w:rsidRPr="006357A2" w:rsidRDefault="00DF616B" w:rsidP="007F0A44">
            <w:pPr>
              <w:pStyle w:val="Textnormy"/>
              <w:ind w:right="246"/>
              <w:jc w:val="left"/>
            </w:pPr>
            <w:r w:rsidRPr="006357A2">
              <w:t>199</w:t>
            </w:r>
            <w:r>
              <w:t>9</w:t>
            </w:r>
          </w:p>
        </w:tc>
        <w:tc>
          <w:tcPr>
            <w:tcW w:w="5078" w:type="dxa"/>
          </w:tcPr>
          <w:p w14:paraId="54BCCA7B" w14:textId="77777777" w:rsidR="006357A2" w:rsidRPr="006357A2" w:rsidRDefault="006357A2" w:rsidP="007F0A44">
            <w:pPr>
              <w:pStyle w:val="Textnormy"/>
              <w:ind w:right="246"/>
              <w:jc w:val="left"/>
            </w:pPr>
            <w:r w:rsidRPr="006357A2">
              <w:t>Točivé elektrické stroje – Část 1: Jmenovité údaje a vlastnosti</w:t>
            </w:r>
          </w:p>
        </w:tc>
        <w:tc>
          <w:tcPr>
            <w:tcW w:w="1559" w:type="dxa"/>
          </w:tcPr>
          <w:p w14:paraId="69B0C69E" w14:textId="77777777" w:rsidR="006357A2" w:rsidRPr="006357A2" w:rsidRDefault="006357A2" w:rsidP="007F0A44">
            <w:pPr>
              <w:pStyle w:val="Textnormy"/>
              <w:ind w:right="246"/>
              <w:jc w:val="left"/>
            </w:pPr>
            <w:r w:rsidRPr="006357A2">
              <w:t>EN 60034-1</w:t>
            </w:r>
          </w:p>
        </w:tc>
        <w:tc>
          <w:tcPr>
            <w:tcW w:w="736" w:type="dxa"/>
          </w:tcPr>
          <w:p w14:paraId="3DC097DB" w14:textId="5DAA98E2" w:rsidR="006357A2" w:rsidRPr="006357A2" w:rsidRDefault="00DF616B" w:rsidP="007F0A44">
            <w:pPr>
              <w:pStyle w:val="Textnormy"/>
              <w:jc w:val="left"/>
            </w:pPr>
            <w:r w:rsidRPr="006357A2">
              <w:t>199</w:t>
            </w:r>
            <w:r>
              <w:t>9</w:t>
            </w:r>
          </w:p>
        </w:tc>
      </w:tr>
      <w:tr w:rsidR="006357A2" w:rsidRPr="006357A2" w14:paraId="28B1B0E3" w14:textId="77777777" w:rsidTr="008A547F">
        <w:trPr>
          <w:jc w:val="center"/>
        </w:trPr>
        <w:tc>
          <w:tcPr>
            <w:tcW w:w="1559" w:type="dxa"/>
          </w:tcPr>
          <w:p w14:paraId="1514BC42" w14:textId="77777777" w:rsidR="006357A2" w:rsidRPr="006357A2" w:rsidRDefault="006357A2" w:rsidP="007F0A44">
            <w:pPr>
              <w:pStyle w:val="Textnormy"/>
              <w:ind w:right="246"/>
              <w:jc w:val="left"/>
            </w:pPr>
            <w:r w:rsidRPr="006357A2">
              <w:t>IEC 60034-6</w:t>
            </w:r>
          </w:p>
        </w:tc>
        <w:tc>
          <w:tcPr>
            <w:tcW w:w="991" w:type="dxa"/>
          </w:tcPr>
          <w:p w14:paraId="5786EB78" w14:textId="77777777" w:rsidR="006357A2" w:rsidRPr="006357A2" w:rsidRDefault="006357A2" w:rsidP="007F0A44">
            <w:pPr>
              <w:pStyle w:val="Textnormy"/>
              <w:ind w:right="246"/>
              <w:jc w:val="left"/>
            </w:pPr>
            <w:r w:rsidRPr="006357A2">
              <w:t>1991</w:t>
            </w:r>
          </w:p>
        </w:tc>
        <w:tc>
          <w:tcPr>
            <w:tcW w:w="5078" w:type="dxa"/>
          </w:tcPr>
          <w:p w14:paraId="6E043CF9" w14:textId="77777777" w:rsidR="006357A2" w:rsidRPr="006357A2" w:rsidRDefault="006357A2" w:rsidP="007F0A44">
            <w:pPr>
              <w:pStyle w:val="Textnormy"/>
              <w:ind w:right="246"/>
              <w:jc w:val="left"/>
            </w:pPr>
            <w:r w:rsidRPr="006357A2">
              <w:t>Točivé elektrické stroje – Část 6: Způsoby chlazení (IC kód)</w:t>
            </w:r>
          </w:p>
        </w:tc>
        <w:tc>
          <w:tcPr>
            <w:tcW w:w="1559" w:type="dxa"/>
          </w:tcPr>
          <w:p w14:paraId="33A40941" w14:textId="77777777" w:rsidR="006357A2" w:rsidRPr="006357A2" w:rsidRDefault="006357A2" w:rsidP="007F0A44">
            <w:pPr>
              <w:pStyle w:val="Textnormy"/>
              <w:ind w:right="246"/>
              <w:jc w:val="left"/>
            </w:pPr>
            <w:r w:rsidRPr="006357A2">
              <w:t>EN 60034-6</w:t>
            </w:r>
          </w:p>
        </w:tc>
        <w:tc>
          <w:tcPr>
            <w:tcW w:w="736" w:type="dxa"/>
          </w:tcPr>
          <w:p w14:paraId="3703D290" w14:textId="77777777" w:rsidR="006357A2" w:rsidRPr="006357A2" w:rsidRDefault="006357A2" w:rsidP="007F0A44">
            <w:pPr>
              <w:pStyle w:val="Textnormy"/>
              <w:jc w:val="left"/>
            </w:pPr>
            <w:r w:rsidRPr="006357A2">
              <w:t>1993</w:t>
            </w:r>
          </w:p>
        </w:tc>
      </w:tr>
      <w:tr w:rsidR="006357A2" w:rsidRPr="006357A2" w14:paraId="2833E513" w14:textId="77777777" w:rsidTr="008A547F">
        <w:trPr>
          <w:jc w:val="center"/>
        </w:trPr>
        <w:tc>
          <w:tcPr>
            <w:tcW w:w="1559" w:type="dxa"/>
          </w:tcPr>
          <w:p w14:paraId="43DBAE62" w14:textId="77777777" w:rsidR="006357A2" w:rsidRPr="006357A2" w:rsidRDefault="006357A2" w:rsidP="007F0A44">
            <w:pPr>
              <w:pStyle w:val="Textnormy"/>
              <w:ind w:right="246"/>
              <w:jc w:val="left"/>
            </w:pPr>
            <w:r w:rsidRPr="006357A2">
              <w:t>IEC 60034-12</w:t>
            </w:r>
          </w:p>
        </w:tc>
        <w:tc>
          <w:tcPr>
            <w:tcW w:w="991" w:type="dxa"/>
          </w:tcPr>
          <w:p w14:paraId="5DBDCF19" w14:textId="77777777" w:rsidR="006357A2" w:rsidRPr="006357A2" w:rsidRDefault="006357A2" w:rsidP="007F0A44">
            <w:pPr>
              <w:pStyle w:val="Textnormy"/>
              <w:ind w:right="246"/>
              <w:jc w:val="left"/>
            </w:pPr>
            <w:r w:rsidRPr="006357A2">
              <w:t>1980</w:t>
            </w:r>
          </w:p>
        </w:tc>
        <w:tc>
          <w:tcPr>
            <w:tcW w:w="5078" w:type="dxa"/>
          </w:tcPr>
          <w:p w14:paraId="55BEE8B1" w14:textId="77777777" w:rsidR="006357A2" w:rsidRPr="006357A2" w:rsidRDefault="006357A2" w:rsidP="007F0A44">
            <w:pPr>
              <w:pStyle w:val="Textnormy"/>
              <w:ind w:right="246"/>
              <w:jc w:val="left"/>
            </w:pPr>
            <w:r w:rsidRPr="006357A2">
              <w:t>Točivé elektrické stroje – Část 12: Rozběhové vlastnosti jednootáčkových trojfázových asynchronních motorů nakrátko na napětí do 690 V, 50 Hz</w:t>
            </w:r>
          </w:p>
        </w:tc>
        <w:tc>
          <w:tcPr>
            <w:tcW w:w="1559" w:type="dxa"/>
          </w:tcPr>
          <w:p w14:paraId="17F1BCBF" w14:textId="77777777" w:rsidR="006357A2" w:rsidRPr="006357A2" w:rsidRDefault="006357A2" w:rsidP="007F0A44">
            <w:pPr>
              <w:pStyle w:val="Textnormy"/>
              <w:ind w:right="246"/>
              <w:jc w:val="left"/>
            </w:pPr>
            <w:r w:rsidRPr="006357A2">
              <w:t>EN 60034-12</w:t>
            </w:r>
          </w:p>
        </w:tc>
        <w:tc>
          <w:tcPr>
            <w:tcW w:w="736" w:type="dxa"/>
          </w:tcPr>
          <w:p w14:paraId="2FE2BB30" w14:textId="77777777" w:rsidR="006357A2" w:rsidRPr="006357A2" w:rsidRDefault="006357A2" w:rsidP="007F0A44">
            <w:pPr>
              <w:pStyle w:val="Textnormy"/>
              <w:jc w:val="left"/>
            </w:pPr>
            <w:r w:rsidRPr="006357A2">
              <w:t>1995</w:t>
            </w:r>
          </w:p>
        </w:tc>
      </w:tr>
      <w:tr w:rsidR="006357A2" w:rsidRPr="006357A2" w14:paraId="4D79275C" w14:textId="77777777" w:rsidTr="008A547F">
        <w:trPr>
          <w:jc w:val="center"/>
        </w:trPr>
        <w:tc>
          <w:tcPr>
            <w:tcW w:w="1559" w:type="dxa"/>
          </w:tcPr>
          <w:p w14:paraId="69E7CC10" w14:textId="77777777" w:rsidR="006357A2" w:rsidRPr="006357A2" w:rsidRDefault="006357A2" w:rsidP="007F0A44">
            <w:pPr>
              <w:pStyle w:val="Textnormy"/>
              <w:ind w:right="246"/>
              <w:jc w:val="left"/>
            </w:pPr>
            <w:r w:rsidRPr="006357A2">
              <w:t>IEC 60072</w:t>
            </w:r>
          </w:p>
        </w:tc>
        <w:tc>
          <w:tcPr>
            <w:tcW w:w="991" w:type="dxa"/>
          </w:tcPr>
          <w:p w14:paraId="7C8C6A8F" w14:textId="77777777" w:rsidR="006357A2" w:rsidRPr="006357A2" w:rsidRDefault="006357A2" w:rsidP="007F0A44">
            <w:pPr>
              <w:pStyle w:val="Textnormy"/>
              <w:ind w:right="246"/>
              <w:jc w:val="left"/>
            </w:pPr>
            <w:r w:rsidRPr="006357A2">
              <w:t>soubor</w:t>
            </w:r>
          </w:p>
        </w:tc>
        <w:tc>
          <w:tcPr>
            <w:tcW w:w="5078" w:type="dxa"/>
          </w:tcPr>
          <w:p w14:paraId="31E0ED9B" w14:textId="77777777" w:rsidR="006357A2" w:rsidRPr="006357A2" w:rsidRDefault="006357A2" w:rsidP="007F0A44">
            <w:pPr>
              <w:pStyle w:val="Textnormy"/>
              <w:ind w:right="246"/>
              <w:jc w:val="left"/>
            </w:pPr>
            <w:r w:rsidRPr="006357A2">
              <w:t>Rozměry a výkony točivých elektrických strojů</w:t>
            </w:r>
          </w:p>
        </w:tc>
        <w:tc>
          <w:tcPr>
            <w:tcW w:w="1559" w:type="dxa"/>
          </w:tcPr>
          <w:p w14:paraId="1D081E50" w14:textId="77777777" w:rsidR="006357A2" w:rsidRPr="006357A2" w:rsidRDefault="006357A2" w:rsidP="007F0A44">
            <w:pPr>
              <w:pStyle w:val="Textnormy"/>
              <w:ind w:right="246"/>
              <w:jc w:val="left"/>
            </w:pPr>
            <w:r w:rsidRPr="006357A2">
              <w:t>–</w:t>
            </w:r>
          </w:p>
        </w:tc>
        <w:tc>
          <w:tcPr>
            <w:tcW w:w="736" w:type="dxa"/>
          </w:tcPr>
          <w:p w14:paraId="5B7FB615" w14:textId="77777777" w:rsidR="006357A2" w:rsidRPr="006357A2" w:rsidRDefault="006357A2" w:rsidP="007F0A44">
            <w:pPr>
              <w:pStyle w:val="Textnormy"/>
              <w:jc w:val="left"/>
            </w:pPr>
            <w:r w:rsidRPr="006357A2">
              <w:t>–</w:t>
            </w:r>
          </w:p>
        </w:tc>
      </w:tr>
    </w:tbl>
    <w:p w14:paraId="3BE7C532" w14:textId="77777777" w:rsidR="006357A2" w:rsidRPr="006357A2" w:rsidRDefault="006357A2" w:rsidP="006357A2">
      <w:pPr>
        <w:pStyle w:val="Textnormy"/>
      </w:pPr>
    </w:p>
    <w:sectPr w:rsidR="006357A2" w:rsidRPr="006357A2">
      <w:headerReference w:type="even" r:id="rId20"/>
      <w:headerReference w:type="default" r:id="rId21"/>
      <w:footerReference w:type="even" r:id="rId22"/>
      <w:footerReference w:type="default" r:id="rId23"/>
      <w:headerReference w:type="first" r:id="rId24"/>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B1C96" w14:textId="77777777" w:rsidR="00481CF9" w:rsidRDefault="00481CF9">
      <w:r>
        <w:separator/>
      </w:r>
    </w:p>
  </w:endnote>
  <w:endnote w:type="continuationSeparator" w:id="0">
    <w:p w14:paraId="0E66CB31" w14:textId="77777777" w:rsidR="00481CF9" w:rsidRDefault="00481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embedRegular r:id="rId1" w:subsetted="1" w:fontKey="{8235D9E0-7F52-4CED-A290-AA544ED2BFF2}"/>
  </w:font>
  <w:font w:name="Arial-ItalicMT">
    <w:altName w:val="Arial"/>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BD3E3"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6E2C6DD9"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E5569"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7</w:t>
    </w:r>
    <w:r>
      <w:rPr>
        <w:rStyle w:val="slostrnky"/>
      </w:rPr>
      <w:fldChar w:fldCharType="end"/>
    </w:r>
  </w:p>
  <w:p w14:paraId="442F9687"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BC498" w14:textId="0C3F8C6D" w:rsidR="00F34746" w:rsidRPr="000C45D4" w:rsidRDefault="000C45D4" w:rsidP="000C45D4">
    <w:pPr>
      <w:pStyle w:val="1StrCopyright"/>
      <w:tabs>
        <w:tab w:val="clear" w:pos="2155"/>
      </w:tabs>
    </w:pPr>
    <w:r>
      <w:rPr>
        <w:noProof/>
      </w:rPr>
      <w:drawing>
        <wp:anchor distT="0" distB="0" distL="114300" distR="114300" simplePos="0" relativeHeight="251672064" behindDoc="0" locked="0" layoutInCell="1" allowOverlap="1" wp14:anchorId="60AC988C" wp14:editId="7F5004D0">
          <wp:simplePos x="0" y="0"/>
          <wp:positionH relativeFrom="column">
            <wp:posOffset>-93345</wp:posOffset>
          </wp:positionH>
          <wp:positionV relativeFrom="page">
            <wp:posOffset>9721215</wp:posOffset>
          </wp:positionV>
          <wp:extent cx="1364615" cy="568960"/>
          <wp:effectExtent l="0" t="0" r="6985" b="2540"/>
          <wp:wrapNone/>
          <wp:docPr id="1771931737"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4A5A7"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484543">
      <w:rPr>
        <w:rStyle w:val="slostrnky"/>
        <w:noProof/>
      </w:rPr>
      <w:t>10</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270D8"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484543">
      <w:rPr>
        <w:rStyle w:val="slostrnky"/>
        <w:noProof/>
      </w:rPr>
      <w:t>9</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597C0" w14:textId="77777777" w:rsidR="00481CF9" w:rsidRDefault="00481CF9">
      <w:r>
        <w:separator/>
      </w:r>
    </w:p>
  </w:footnote>
  <w:footnote w:type="continuationSeparator" w:id="0">
    <w:p w14:paraId="10112C29" w14:textId="77777777" w:rsidR="00481CF9" w:rsidRDefault="00481CF9">
      <w:r>
        <w:continuationSeparator/>
      </w:r>
    </w:p>
  </w:footnote>
  <w:footnote w:id="1">
    <w:p w14:paraId="76E285F7" w14:textId="77777777" w:rsidR="006357A2" w:rsidRPr="00396687" w:rsidRDefault="006357A2" w:rsidP="006357A2">
      <w:pPr>
        <w:pStyle w:val="Textpoznpodarou"/>
        <w:ind w:left="284" w:hanging="284"/>
      </w:pPr>
      <w:r w:rsidRPr="00396687">
        <w:rPr>
          <w:rStyle w:val="Znakapoznpodarou"/>
        </w:rPr>
        <w:t>*)</w:t>
      </w:r>
      <w:r w:rsidRPr="00396687">
        <w:tab/>
        <w:t>Vydání z roku 1999 je tzv. konsolidované vydání, zahrnující IEC 60034-1:1996, včetně změn A1:1997 a A2:1999. IEC 60034-1:1999 byla nahrazena IEC 60034-1:2004 (zavedena jako ČSN EN 60034-1:2005); ta se však k této ČSN IEC/TS 60034-17 nevztahuje, protože v kapitole 2 je odkaz na IEC 60034-1:1999.</w:t>
      </w:r>
    </w:p>
  </w:footnote>
  <w:footnote w:id="2">
    <w:p w14:paraId="6B3A5335" w14:textId="0F3492E2" w:rsidR="006357A2" w:rsidRDefault="006357A2" w:rsidP="006357A2">
      <w:pPr>
        <w:pStyle w:val="Textpoznpodarou"/>
        <w:ind w:left="284" w:hanging="284"/>
      </w:pPr>
      <w:r>
        <w:rPr>
          <w:rStyle w:val="Znakapoznpodarou"/>
        </w:rPr>
        <w:t>**)</w:t>
      </w:r>
      <w:r>
        <w:tab/>
        <w:t>ČSN EN 60034-12+A2:1997, která přejímala IEC 60034-12:1980, byla zrušena z důvodu nahrazení mezinárodní normy novějším vydáním a je dostupná v</w:t>
      </w:r>
      <w:r w:rsidR="008766D9">
        <w:t> zákaznickém centru ČAS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5B901" w14:textId="77777777" w:rsidR="00F34746" w:rsidRDefault="00000000">
    <w:pPr>
      <w:pStyle w:val="Zhlav"/>
    </w:pPr>
    <w:r>
      <w:rPr>
        <w:noProof/>
      </w:rPr>
      <w:pict w14:anchorId="428F7C8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29" o:spid="_x0000_s1026"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A1482" w14:textId="77777777" w:rsidR="00F34746" w:rsidRDefault="00000000">
    <w:pPr>
      <w:pStyle w:val="Zhlav"/>
      <w:jc w:val="right"/>
    </w:pPr>
    <w:r>
      <w:rPr>
        <w:noProof/>
      </w:rPr>
      <w:pict w14:anchorId="15A964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30" o:spid="_x0000_s1027"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128B3" w14:textId="77777777" w:rsidR="00987690" w:rsidRDefault="00000000">
    <w:pPr>
      <w:pStyle w:val="Zhlav"/>
    </w:pPr>
    <w:r>
      <w:rPr>
        <w:noProof/>
      </w:rPr>
      <w:pict w14:anchorId="1E71BB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28" o:spid="_x0000_s1025"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D722D" w14:textId="77777777" w:rsidR="00F34746" w:rsidRDefault="00000000">
    <w:pPr>
      <w:pStyle w:val="Zhlav"/>
    </w:pPr>
    <w:r>
      <w:rPr>
        <w:noProof/>
      </w:rPr>
      <w:pict w14:anchorId="5275B7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32" o:spid="_x0000_s1029"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w:t>
    </w:r>
    <w:r w:rsidR="006357A2">
      <w:t xml:space="preserve"> CLC IEC/TS 60034-17</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87EF9" w14:textId="77777777" w:rsidR="00F34746" w:rsidRDefault="00000000" w:rsidP="006357A2">
    <w:pPr>
      <w:pStyle w:val="Zhlav"/>
      <w:jc w:val="right"/>
    </w:pPr>
    <w:r>
      <w:rPr>
        <w:noProof/>
      </w:rPr>
      <w:pict w14:anchorId="0901CD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33" o:spid="_x0000_s1030"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6357A2">
      <w:t>ČSN CLC IEC/TS 60034-17</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1D155" w14:textId="77777777" w:rsidR="00987690" w:rsidRDefault="00000000">
    <w:pPr>
      <w:pStyle w:val="Zhlav"/>
    </w:pPr>
    <w:r>
      <w:rPr>
        <w:noProof/>
      </w:rPr>
      <w:pict w14:anchorId="252E28D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58831" o:spid="_x0000_s1028"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196628330">
    <w:abstractNumId w:val="17"/>
  </w:num>
  <w:num w:numId="2" w16cid:durableId="1840074849">
    <w:abstractNumId w:val="14"/>
  </w:num>
  <w:num w:numId="3" w16cid:durableId="116685826">
    <w:abstractNumId w:val="15"/>
  </w:num>
  <w:num w:numId="4" w16cid:durableId="1244879802">
    <w:abstractNumId w:val="9"/>
  </w:num>
  <w:num w:numId="5" w16cid:durableId="381566224">
    <w:abstractNumId w:val="10"/>
  </w:num>
  <w:num w:numId="6" w16cid:durableId="388453996">
    <w:abstractNumId w:val="20"/>
    <w:lvlOverride w:ilvl="0">
      <w:startOverride w:val="1"/>
    </w:lvlOverride>
  </w:num>
  <w:num w:numId="7" w16cid:durableId="286550051">
    <w:abstractNumId w:val="11"/>
  </w:num>
  <w:num w:numId="8" w16cid:durableId="1311518901">
    <w:abstractNumId w:val="16"/>
  </w:num>
  <w:num w:numId="9" w16cid:durableId="556597513">
    <w:abstractNumId w:val="10"/>
    <w:lvlOverride w:ilvl="0">
      <w:startOverride w:val="1"/>
    </w:lvlOverride>
  </w:num>
  <w:num w:numId="10" w16cid:durableId="1141266746">
    <w:abstractNumId w:val="20"/>
  </w:num>
  <w:num w:numId="11" w16cid:durableId="932709638">
    <w:abstractNumId w:val="13"/>
  </w:num>
  <w:num w:numId="12" w16cid:durableId="324015839">
    <w:abstractNumId w:val="12"/>
  </w:num>
  <w:num w:numId="13" w16cid:durableId="1645617926">
    <w:abstractNumId w:val="0"/>
  </w:num>
  <w:num w:numId="14" w16cid:durableId="966162576">
    <w:abstractNumId w:val="1"/>
  </w:num>
  <w:num w:numId="15" w16cid:durableId="1020476555">
    <w:abstractNumId w:val="3"/>
  </w:num>
  <w:num w:numId="16" w16cid:durableId="1063723894">
    <w:abstractNumId w:val="2"/>
  </w:num>
  <w:num w:numId="17" w16cid:durableId="1526752997">
    <w:abstractNumId w:val="8"/>
  </w:num>
  <w:num w:numId="18" w16cid:durableId="303967623">
    <w:abstractNumId w:val="7"/>
  </w:num>
  <w:num w:numId="19" w16cid:durableId="559557657">
    <w:abstractNumId w:val="6"/>
  </w:num>
  <w:num w:numId="20" w16cid:durableId="1982343926">
    <w:abstractNumId w:val="5"/>
  </w:num>
  <w:num w:numId="21" w16cid:durableId="80762767">
    <w:abstractNumId w:val="4"/>
  </w:num>
  <w:num w:numId="22" w16cid:durableId="974138417">
    <w:abstractNumId w:val="18"/>
  </w:num>
  <w:num w:numId="23" w16cid:durableId="758913115">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5A09"/>
    <w:rsid w:val="0000374E"/>
    <w:rsid w:val="000235E0"/>
    <w:rsid w:val="000356FB"/>
    <w:rsid w:val="0005772C"/>
    <w:rsid w:val="00066358"/>
    <w:rsid w:val="000C45D4"/>
    <w:rsid w:val="000D22A5"/>
    <w:rsid w:val="000D7198"/>
    <w:rsid w:val="000D7CC4"/>
    <w:rsid w:val="000E3803"/>
    <w:rsid w:val="00103F06"/>
    <w:rsid w:val="00104C1B"/>
    <w:rsid w:val="00121E8D"/>
    <w:rsid w:val="0013039D"/>
    <w:rsid w:val="0013058D"/>
    <w:rsid w:val="00135415"/>
    <w:rsid w:val="00142CE4"/>
    <w:rsid w:val="001567EF"/>
    <w:rsid w:val="00194A2B"/>
    <w:rsid w:val="001B1B5E"/>
    <w:rsid w:val="001B63E7"/>
    <w:rsid w:val="001E0018"/>
    <w:rsid w:val="00210AAE"/>
    <w:rsid w:val="00211858"/>
    <w:rsid w:val="00215641"/>
    <w:rsid w:val="00231D91"/>
    <w:rsid w:val="002348D5"/>
    <w:rsid w:val="00236AFC"/>
    <w:rsid w:val="0028156D"/>
    <w:rsid w:val="0028489E"/>
    <w:rsid w:val="0029244D"/>
    <w:rsid w:val="002B25EE"/>
    <w:rsid w:val="002D43DF"/>
    <w:rsid w:val="002F6A9A"/>
    <w:rsid w:val="00314F2D"/>
    <w:rsid w:val="003314EE"/>
    <w:rsid w:val="00342659"/>
    <w:rsid w:val="0036470F"/>
    <w:rsid w:val="00375971"/>
    <w:rsid w:val="0038646B"/>
    <w:rsid w:val="003B3F3D"/>
    <w:rsid w:val="003C701A"/>
    <w:rsid w:val="003E039C"/>
    <w:rsid w:val="003F077F"/>
    <w:rsid w:val="004069CB"/>
    <w:rsid w:val="00412CB3"/>
    <w:rsid w:val="004159F3"/>
    <w:rsid w:val="004179D9"/>
    <w:rsid w:val="00421B22"/>
    <w:rsid w:val="00434C30"/>
    <w:rsid w:val="00445C34"/>
    <w:rsid w:val="004634EE"/>
    <w:rsid w:val="00481CF9"/>
    <w:rsid w:val="00484543"/>
    <w:rsid w:val="0049193F"/>
    <w:rsid w:val="00496A59"/>
    <w:rsid w:val="004B223B"/>
    <w:rsid w:val="004C5D55"/>
    <w:rsid w:val="004D39AA"/>
    <w:rsid w:val="00503D98"/>
    <w:rsid w:val="00562639"/>
    <w:rsid w:val="00576ED5"/>
    <w:rsid w:val="00581E11"/>
    <w:rsid w:val="005B3FD5"/>
    <w:rsid w:val="005E3B21"/>
    <w:rsid w:val="005E6EAE"/>
    <w:rsid w:val="006357A2"/>
    <w:rsid w:val="0064024B"/>
    <w:rsid w:val="0068081E"/>
    <w:rsid w:val="006A3382"/>
    <w:rsid w:val="006B04C9"/>
    <w:rsid w:val="006C0CD6"/>
    <w:rsid w:val="006D2485"/>
    <w:rsid w:val="00734D06"/>
    <w:rsid w:val="00781609"/>
    <w:rsid w:val="0079076B"/>
    <w:rsid w:val="007E0F61"/>
    <w:rsid w:val="007E23F0"/>
    <w:rsid w:val="007F27A2"/>
    <w:rsid w:val="007F4A22"/>
    <w:rsid w:val="007F7E34"/>
    <w:rsid w:val="008072A3"/>
    <w:rsid w:val="00831B2F"/>
    <w:rsid w:val="008638F1"/>
    <w:rsid w:val="00872046"/>
    <w:rsid w:val="008766D9"/>
    <w:rsid w:val="00881681"/>
    <w:rsid w:val="00890FAC"/>
    <w:rsid w:val="008A04E8"/>
    <w:rsid w:val="008A547F"/>
    <w:rsid w:val="008A7D3C"/>
    <w:rsid w:val="008C03BC"/>
    <w:rsid w:val="008D0348"/>
    <w:rsid w:val="008F4369"/>
    <w:rsid w:val="008F51B6"/>
    <w:rsid w:val="0090499A"/>
    <w:rsid w:val="00923E20"/>
    <w:rsid w:val="0093110D"/>
    <w:rsid w:val="00931FE4"/>
    <w:rsid w:val="00945137"/>
    <w:rsid w:val="009514D2"/>
    <w:rsid w:val="0095314E"/>
    <w:rsid w:val="009550F5"/>
    <w:rsid w:val="00970283"/>
    <w:rsid w:val="009725EC"/>
    <w:rsid w:val="00987690"/>
    <w:rsid w:val="009A2D25"/>
    <w:rsid w:val="009F2E2E"/>
    <w:rsid w:val="009F78CE"/>
    <w:rsid w:val="00A12852"/>
    <w:rsid w:val="00A3019F"/>
    <w:rsid w:val="00A353F0"/>
    <w:rsid w:val="00A73FB9"/>
    <w:rsid w:val="00A7511E"/>
    <w:rsid w:val="00A83EAB"/>
    <w:rsid w:val="00A848B2"/>
    <w:rsid w:val="00A90C34"/>
    <w:rsid w:val="00AB15EC"/>
    <w:rsid w:val="00AE5F6D"/>
    <w:rsid w:val="00AF21D3"/>
    <w:rsid w:val="00B363AC"/>
    <w:rsid w:val="00BB7770"/>
    <w:rsid w:val="00BC1FDE"/>
    <w:rsid w:val="00BE7844"/>
    <w:rsid w:val="00C02CD7"/>
    <w:rsid w:val="00C2107C"/>
    <w:rsid w:val="00C27C5E"/>
    <w:rsid w:val="00C42ACE"/>
    <w:rsid w:val="00C43BC8"/>
    <w:rsid w:val="00C904AB"/>
    <w:rsid w:val="00CB0B2E"/>
    <w:rsid w:val="00D16E53"/>
    <w:rsid w:val="00D35BBC"/>
    <w:rsid w:val="00D52565"/>
    <w:rsid w:val="00D53D67"/>
    <w:rsid w:val="00D54402"/>
    <w:rsid w:val="00D64213"/>
    <w:rsid w:val="00D710BC"/>
    <w:rsid w:val="00D7749E"/>
    <w:rsid w:val="00D85849"/>
    <w:rsid w:val="00DA1989"/>
    <w:rsid w:val="00DA2942"/>
    <w:rsid w:val="00DD5A09"/>
    <w:rsid w:val="00DE2529"/>
    <w:rsid w:val="00DE412B"/>
    <w:rsid w:val="00DE5D04"/>
    <w:rsid w:val="00DF616B"/>
    <w:rsid w:val="00DF665F"/>
    <w:rsid w:val="00E12D49"/>
    <w:rsid w:val="00E22981"/>
    <w:rsid w:val="00E40650"/>
    <w:rsid w:val="00E54903"/>
    <w:rsid w:val="00E54908"/>
    <w:rsid w:val="00E64DC6"/>
    <w:rsid w:val="00EB1FEE"/>
    <w:rsid w:val="00EC386F"/>
    <w:rsid w:val="00ED6F57"/>
    <w:rsid w:val="00EE0465"/>
    <w:rsid w:val="00EE5427"/>
    <w:rsid w:val="00F03A91"/>
    <w:rsid w:val="00F33EA7"/>
    <w:rsid w:val="00F34746"/>
    <w:rsid w:val="00F415E7"/>
    <w:rsid w:val="00F74691"/>
    <w:rsid w:val="00F77831"/>
    <w:rsid w:val="00F95F63"/>
    <w:rsid w:val="00FC6A4F"/>
    <w:rsid w:val="00FC7D92"/>
    <w:rsid w:val="00FF45F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836F189"/>
  <w15:chartTrackingRefBased/>
  <w15:docId w15:val="{3E8371F3-D60C-483A-BAAE-91294EA0A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348D5"/>
  </w:style>
  <w:style w:type="paragraph" w:styleId="Nadpis1">
    <w:name w:val="heading 1"/>
    <w:basedOn w:val="Nadpiskapitoly"/>
    <w:next w:val="Textnormy"/>
    <w:link w:val="Nadpis1Char"/>
    <w:qFormat/>
    <w:rsid w:val="002348D5"/>
    <w:pPr>
      <w:outlineLvl w:val="0"/>
    </w:pPr>
  </w:style>
  <w:style w:type="paragraph" w:styleId="Nadpis2">
    <w:name w:val="heading 2"/>
    <w:basedOn w:val="Nadpislnku"/>
    <w:next w:val="Textnormy"/>
    <w:qFormat/>
    <w:rsid w:val="002348D5"/>
    <w:pPr>
      <w:outlineLvl w:val="1"/>
    </w:pPr>
  </w:style>
  <w:style w:type="paragraph" w:styleId="Nadpis3">
    <w:name w:val="heading 3"/>
    <w:basedOn w:val="Nadpislnku"/>
    <w:next w:val="Textnormy"/>
    <w:qFormat/>
    <w:rsid w:val="002348D5"/>
    <w:pPr>
      <w:outlineLvl w:val="2"/>
    </w:pPr>
  </w:style>
  <w:style w:type="paragraph" w:styleId="Nadpis4">
    <w:name w:val="heading 4"/>
    <w:basedOn w:val="Nadpislnku"/>
    <w:next w:val="Textnormy"/>
    <w:qFormat/>
    <w:rsid w:val="002348D5"/>
    <w:pPr>
      <w:outlineLvl w:val="3"/>
    </w:pPr>
  </w:style>
  <w:style w:type="paragraph" w:styleId="Nadpis5">
    <w:name w:val="heading 5"/>
    <w:basedOn w:val="Nadpislnku"/>
    <w:next w:val="Textnormy"/>
    <w:unhideWhenUsed/>
    <w:qFormat/>
    <w:rsid w:val="002348D5"/>
    <w:pPr>
      <w:outlineLvl w:val="4"/>
    </w:pPr>
  </w:style>
  <w:style w:type="paragraph" w:styleId="Nadpis6">
    <w:name w:val="heading 6"/>
    <w:basedOn w:val="Nadpislnku"/>
    <w:next w:val="Textnormy"/>
    <w:unhideWhenUsed/>
    <w:qFormat/>
    <w:rsid w:val="002348D5"/>
    <w:pPr>
      <w:outlineLvl w:val="5"/>
    </w:pPr>
  </w:style>
  <w:style w:type="paragraph" w:styleId="Nadpis7">
    <w:name w:val="heading 7"/>
    <w:basedOn w:val="Nadpislnku"/>
    <w:next w:val="Textnormy"/>
    <w:unhideWhenUsed/>
    <w:qFormat/>
    <w:rsid w:val="002348D5"/>
    <w:pPr>
      <w:outlineLvl w:val="6"/>
    </w:pPr>
  </w:style>
  <w:style w:type="paragraph" w:styleId="Nadpis8">
    <w:name w:val="heading 8"/>
    <w:basedOn w:val="Nadpislnku"/>
    <w:next w:val="Textnormy"/>
    <w:unhideWhenUsed/>
    <w:qFormat/>
    <w:rsid w:val="002348D5"/>
    <w:pPr>
      <w:outlineLvl w:val="7"/>
    </w:pPr>
  </w:style>
  <w:style w:type="paragraph" w:styleId="Nadpis9">
    <w:name w:val="heading 9"/>
    <w:basedOn w:val="Nadpislnku"/>
    <w:next w:val="Textnormy"/>
    <w:unhideWhenUsed/>
    <w:qFormat/>
    <w:rsid w:val="002348D5"/>
    <w:pPr>
      <w:outlineLvl w:val="8"/>
    </w:pPr>
  </w:style>
  <w:style w:type="character" w:default="1" w:styleId="Standardnpsmoodstavce">
    <w:name w:val="Default Paragraph Font"/>
    <w:uiPriority w:val="1"/>
    <w:semiHidden/>
    <w:unhideWhenUsed/>
    <w:rsid w:val="002348D5"/>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2348D5"/>
  </w:style>
  <w:style w:type="paragraph" w:customStyle="1" w:styleId="Nadpiskapitoly">
    <w:name w:val="Nadpis kapitoly"/>
    <w:basedOn w:val="Nadpislnku"/>
    <w:next w:val="Textnormy"/>
    <w:rsid w:val="002348D5"/>
    <w:pPr>
      <w:spacing w:before="360" w:after="180"/>
    </w:pPr>
    <w:rPr>
      <w:sz w:val="24"/>
    </w:rPr>
  </w:style>
  <w:style w:type="paragraph" w:customStyle="1" w:styleId="Nadpislnku">
    <w:name w:val="Nadpis článku"/>
    <w:basedOn w:val="Textnormy"/>
    <w:next w:val="Textnormy"/>
    <w:link w:val="NadpislnkuChar"/>
    <w:rsid w:val="002348D5"/>
    <w:pPr>
      <w:keepNext/>
      <w:keepLines/>
      <w:suppressAutoHyphens/>
      <w:spacing w:before="240"/>
      <w:jc w:val="left"/>
    </w:pPr>
    <w:rPr>
      <w:b/>
    </w:rPr>
  </w:style>
  <w:style w:type="paragraph" w:customStyle="1" w:styleId="Textnormy">
    <w:name w:val="Text normy"/>
    <w:link w:val="TextnormyChar1"/>
    <w:rsid w:val="002348D5"/>
    <w:pPr>
      <w:spacing w:after="120"/>
      <w:jc w:val="both"/>
    </w:pPr>
  </w:style>
  <w:style w:type="paragraph" w:customStyle="1" w:styleId="1StrTrZn">
    <w:name w:val="1StrTrZn"/>
    <w:basedOn w:val="Textnormy"/>
    <w:rsid w:val="002348D5"/>
    <w:pPr>
      <w:spacing w:before="80" w:after="80" w:line="340" w:lineRule="exact"/>
      <w:jc w:val="left"/>
    </w:pPr>
    <w:rPr>
      <w:sz w:val="28"/>
    </w:rPr>
  </w:style>
  <w:style w:type="paragraph" w:customStyle="1" w:styleId="1StrNN-2-23">
    <w:name w:val="1StrNN-2-23"/>
    <w:basedOn w:val="1StrNN-1-23"/>
    <w:rsid w:val="002348D5"/>
    <w:pPr>
      <w:spacing w:before="480"/>
    </w:pPr>
  </w:style>
  <w:style w:type="paragraph" w:customStyle="1" w:styleId="1StrNN-1-23">
    <w:name w:val="1StrNN-1-23"/>
    <w:basedOn w:val="Textnormy"/>
    <w:rsid w:val="002348D5"/>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2348D5"/>
    <w:pPr>
      <w:widowControl w:val="0"/>
      <w:suppressAutoHyphens/>
      <w:jc w:val="left"/>
    </w:pPr>
    <w:rPr>
      <w:sz w:val="18"/>
      <w:lang w:val="en-GB"/>
    </w:rPr>
  </w:style>
  <w:style w:type="paragraph" w:styleId="slovanseznam">
    <w:name w:val="List Number"/>
    <w:basedOn w:val="Textnormy"/>
    <w:rsid w:val="002348D5"/>
    <w:pPr>
      <w:numPr>
        <w:numId w:val="2"/>
      </w:numPr>
      <w:ind w:left="284" w:hanging="284"/>
    </w:pPr>
  </w:style>
  <w:style w:type="paragraph" w:styleId="Rejstk1">
    <w:name w:val="index 1"/>
    <w:basedOn w:val="Textnormy"/>
    <w:next w:val="Textnormy"/>
    <w:rsid w:val="002348D5"/>
    <w:pPr>
      <w:tabs>
        <w:tab w:val="right" w:pos="9923"/>
      </w:tabs>
      <w:spacing w:after="60"/>
      <w:ind w:left="198" w:hanging="198"/>
      <w:jc w:val="left"/>
    </w:pPr>
    <w:rPr>
      <w:sz w:val="18"/>
    </w:rPr>
  </w:style>
  <w:style w:type="paragraph" w:customStyle="1" w:styleId="Shodnost">
    <w:name w:val="Shodnost"/>
    <w:basedOn w:val="Textnormy"/>
    <w:next w:val="Textnormy"/>
    <w:rsid w:val="002348D5"/>
    <w:pPr>
      <w:keepNext/>
      <w:keepLines/>
      <w:spacing w:before="240" w:after="360"/>
      <w:jc w:val="right"/>
    </w:pPr>
    <w:rPr>
      <w:sz w:val="28"/>
    </w:rPr>
  </w:style>
  <w:style w:type="character" w:styleId="slostrnky">
    <w:name w:val="page number"/>
    <w:basedOn w:val="Standardnpsmoodstavce"/>
    <w:rsid w:val="002348D5"/>
    <w:rPr>
      <w:rFonts w:ascii="Arial" w:hAnsi="Arial"/>
      <w:sz w:val="18"/>
    </w:rPr>
  </w:style>
  <w:style w:type="paragraph" w:customStyle="1" w:styleId="Poznmka">
    <w:name w:val="Poznámka"/>
    <w:basedOn w:val="Textnormy"/>
    <w:next w:val="Textnormy"/>
    <w:rsid w:val="002348D5"/>
    <w:pPr>
      <w:spacing w:before="200" w:after="200"/>
    </w:pPr>
    <w:rPr>
      <w:sz w:val="18"/>
    </w:rPr>
  </w:style>
  <w:style w:type="paragraph" w:customStyle="1" w:styleId="Seznampoznmek">
    <w:name w:val="Seznam poznámek"/>
    <w:basedOn w:val="Poznmka"/>
    <w:rsid w:val="002348D5"/>
    <w:pPr>
      <w:spacing w:before="0" w:after="120"/>
      <w:ind w:left="284" w:hanging="284"/>
    </w:pPr>
  </w:style>
  <w:style w:type="paragraph" w:styleId="Zhlav">
    <w:name w:val="header"/>
    <w:basedOn w:val="Textnormy"/>
    <w:rsid w:val="002348D5"/>
    <w:pPr>
      <w:spacing w:after="360"/>
    </w:pPr>
    <w:rPr>
      <w:sz w:val="18"/>
    </w:rPr>
  </w:style>
  <w:style w:type="paragraph" w:styleId="Zpat">
    <w:name w:val="footer"/>
    <w:basedOn w:val="Textnormy"/>
    <w:rsid w:val="002348D5"/>
    <w:pPr>
      <w:jc w:val="center"/>
    </w:pPr>
    <w:rPr>
      <w:sz w:val="18"/>
    </w:rPr>
  </w:style>
  <w:style w:type="paragraph" w:styleId="Zkladntext">
    <w:name w:val="Body Text"/>
    <w:basedOn w:val="Normln"/>
    <w:link w:val="ZkladntextChar"/>
    <w:semiHidden/>
    <w:rsid w:val="002348D5"/>
    <w:pPr>
      <w:spacing w:after="120"/>
    </w:pPr>
  </w:style>
  <w:style w:type="paragraph" w:styleId="Obsah2">
    <w:name w:val="toc 2"/>
    <w:basedOn w:val="Obsah1"/>
    <w:next w:val="Textnormy"/>
    <w:uiPriority w:val="39"/>
    <w:rsid w:val="002348D5"/>
  </w:style>
  <w:style w:type="paragraph" w:styleId="Obsah1">
    <w:name w:val="toc 1"/>
    <w:basedOn w:val="Textnormy"/>
    <w:next w:val="Textnormy"/>
    <w:uiPriority w:val="39"/>
    <w:rsid w:val="002348D5"/>
    <w:pPr>
      <w:tabs>
        <w:tab w:val="right" w:leader="dot" w:pos="9923"/>
      </w:tabs>
      <w:ind w:left="567" w:hanging="567"/>
      <w:jc w:val="left"/>
    </w:pPr>
    <w:rPr>
      <w:noProof/>
      <w:sz w:val="18"/>
    </w:rPr>
  </w:style>
  <w:style w:type="paragraph" w:customStyle="1" w:styleId="bibliografie">
    <w:name w:val="bibliografie"/>
    <w:basedOn w:val="slovanseznamvnorm"/>
    <w:next w:val="Textnormy"/>
    <w:rsid w:val="002348D5"/>
    <w:pPr>
      <w:numPr>
        <w:numId w:val="7"/>
      </w:numPr>
    </w:pPr>
  </w:style>
  <w:style w:type="paragraph" w:styleId="Obsah3">
    <w:name w:val="toc 3"/>
    <w:basedOn w:val="Obsah1"/>
    <w:next w:val="Textnormy"/>
    <w:rsid w:val="002348D5"/>
  </w:style>
  <w:style w:type="paragraph" w:styleId="Obsah4">
    <w:name w:val="toc 4"/>
    <w:basedOn w:val="Obsah1"/>
    <w:next w:val="Textnormy"/>
    <w:uiPriority w:val="39"/>
    <w:rsid w:val="002348D5"/>
  </w:style>
  <w:style w:type="paragraph" w:styleId="Obsah6">
    <w:name w:val="toc 6"/>
    <w:basedOn w:val="Obsah1"/>
    <w:next w:val="Textnormy"/>
    <w:rsid w:val="002348D5"/>
  </w:style>
  <w:style w:type="paragraph" w:styleId="Obsah7">
    <w:name w:val="toc 7"/>
    <w:basedOn w:val="Obsah1"/>
    <w:next w:val="Textnormy"/>
    <w:semiHidden/>
    <w:rsid w:val="002348D5"/>
  </w:style>
  <w:style w:type="paragraph" w:styleId="Obsah8">
    <w:name w:val="toc 8"/>
    <w:basedOn w:val="Obsah1"/>
    <w:next w:val="Textnormy"/>
    <w:semiHidden/>
    <w:rsid w:val="002348D5"/>
  </w:style>
  <w:style w:type="character" w:styleId="Znakapoznpodarou">
    <w:name w:val="footnote reference"/>
    <w:basedOn w:val="Standardnpsmoodstavce"/>
    <w:rsid w:val="002348D5"/>
    <w:rPr>
      <w:vertAlign w:val="superscript"/>
    </w:rPr>
  </w:style>
  <w:style w:type="paragraph" w:customStyle="1" w:styleId="ABCseznamCZ">
    <w:name w:val="ABC seznamCZ"/>
    <w:basedOn w:val="Textnormy"/>
    <w:rsid w:val="002348D5"/>
    <w:pPr>
      <w:numPr>
        <w:numId w:val="6"/>
      </w:numPr>
    </w:pPr>
  </w:style>
  <w:style w:type="paragraph" w:customStyle="1" w:styleId="slovanseznamvnorm">
    <w:name w:val="Číslovaný seznam v normě"/>
    <w:basedOn w:val="Textnormy"/>
    <w:rsid w:val="002348D5"/>
    <w:pPr>
      <w:numPr>
        <w:numId w:val="3"/>
      </w:numPr>
      <w:tabs>
        <w:tab w:val="clear" w:pos="360"/>
      </w:tabs>
    </w:pPr>
  </w:style>
  <w:style w:type="paragraph" w:customStyle="1" w:styleId="Seznamvnorm">
    <w:name w:val="Seznam v normě"/>
    <w:basedOn w:val="Textnormy"/>
    <w:link w:val="SeznamvnormChar"/>
    <w:rsid w:val="002348D5"/>
    <w:pPr>
      <w:numPr>
        <w:numId w:val="4"/>
      </w:numPr>
      <w:tabs>
        <w:tab w:val="clear" w:pos="360"/>
      </w:tabs>
      <w:ind w:left="284" w:hanging="284"/>
    </w:pPr>
  </w:style>
  <w:style w:type="paragraph" w:customStyle="1" w:styleId="Obrzek">
    <w:name w:val="Obrázek"/>
    <w:basedOn w:val="Textnormy"/>
    <w:next w:val="Normln"/>
    <w:rsid w:val="002348D5"/>
    <w:pPr>
      <w:keepNext/>
      <w:spacing w:after="160"/>
      <w:jc w:val="center"/>
    </w:pPr>
  </w:style>
  <w:style w:type="paragraph" w:customStyle="1" w:styleId="Abecednseznam">
    <w:name w:val="Abecední seznam"/>
    <w:basedOn w:val="Textnormy"/>
    <w:rsid w:val="002348D5"/>
    <w:pPr>
      <w:numPr>
        <w:numId w:val="1"/>
      </w:numPr>
      <w:tabs>
        <w:tab w:val="clear" w:pos="360"/>
      </w:tabs>
    </w:pPr>
  </w:style>
  <w:style w:type="paragraph" w:styleId="Textpoznpodarou">
    <w:name w:val="footnote text"/>
    <w:basedOn w:val="Poznmka"/>
    <w:rsid w:val="002348D5"/>
    <w:pPr>
      <w:spacing w:before="60" w:after="0"/>
    </w:pPr>
  </w:style>
  <w:style w:type="paragraph" w:styleId="Obsah9">
    <w:name w:val="toc 9"/>
    <w:basedOn w:val="Normln"/>
    <w:next w:val="Normln"/>
    <w:autoRedefine/>
    <w:semiHidden/>
    <w:rsid w:val="002348D5"/>
    <w:pPr>
      <w:ind w:left="1600"/>
    </w:pPr>
  </w:style>
  <w:style w:type="paragraph" w:customStyle="1" w:styleId="1Str1Rad">
    <w:name w:val="1Str1Rad"/>
    <w:basedOn w:val="Textnormy"/>
    <w:rsid w:val="002348D5"/>
    <w:pPr>
      <w:widowControl w:val="0"/>
      <w:tabs>
        <w:tab w:val="left" w:pos="7371"/>
        <w:tab w:val="right" w:pos="9923"/>
      </w:tabs>
    </w:pPr>
  </w:style>
  <w:style w:type="paragraph" w:customStyle="1" w:styleId="esknorma">
    <w:name w:val="Česká norma"/>
    <w:basedOn w:val="Textnormy"/>
    <w:next w:val="1Str1Rad"/>
    <w:rsid w:val="002348D5"/>
    <w:pPr>
      <w:spacing w:after="0"/>
      <w:jc w:val="left"/>
    </w:pPr>
    <w:rPr>
      <w:sz w:val="28"/>
    </w:rPr>
  </w:style>
  <w:style w:type="paragraph" w:customStyle="1" w:styleId="Tir">
    <w:name w:val="Tiráž"/>
    <w:basedOn w:val="Normln"/>
    <w:rsid w:val="002348D5"/>
    <w:pPr>
      <w:framePr w:w="9356" w:hSpace="142" w:wrap="around" w:hAnchor="margin" w:yAlign="bottom" w:anchorLock="1"/>
    </w:pPr>
    <w:rPr>
      <w:noProof/>
      <w:sz w:val="16"/>
    </w:rPr>
  </w:style>
  <w:style w:type="paragraph" w:styleId="Hlavikarejstku">
    <w:name w:val="index heading"/>
    <w:basedOn w:val="Textnormy"/>
    <w:next w:val="Rejstk1"/>
    <w:rsid w:val="002348D5"/>
    <w:pPr>
      <w:spacing w:before="180" w:after="60"/>
      <w:jc w:val="left"/>
    </w:pPr>
    <w:rPr>
      <w:b/>
      <w:sz w:val="18"/>
    </w:rPr>
  </w:style>
  <w:style w:type="paragraph" w:customStyle="1" w:styleId="Texttabulky">
    <w:name w:val="Text tabulky"/>
    <w:basedOn w:val="Textnormy"/>
    <w:rsid w:val="002348D5"/>
    <w:pPr>
      <w:suppressAutoHyphens/>
      <w:spacing w:before="60" w:after="60"/>
      <w:jc w:val="left"/>
    </w:pPr>
    <w:rPr>
      <w:sz w:val="18"/>
    </w:rPr>
  </w:style>
  <w:style w:type="paragraph" w:customStyle="1" w:styleId="1StrCopyright">
    <w:name w:val="1StrCopyright"/>
    <w:basedOn w:val="Zpat"/>
    <w:rsid w:val="002348D5"/>
    <w:pPr>
      <w:tabs>
        <w:tab w:val="left" w:pos="2155"/>
        <w:tab w:val="right" w:pos="9923"/>
      </w:tabs>
      <w:spacing w:after="0"/>
      <w:ind w:left="2126" w:hanging="2126"/>
      <w:jc w:val="left"/>
    </w:pPr>
  </w:style>
  <w:style w:type="paragraph" w:customStyle="1" w:styleId="EvropNorma">
    <w:name w:val="EvropNorma"/>
    <w:basedOn w:val="Textnormy"/>
    <w:rsid w:val="002348D5"/>
    <w:pPr>
      <w:pageBreakBefore/>
      <w:pBdr>
        <w:bottom w:val="single" w:sz="6" w:space="6" w:color="auto"/>
      </w:pBdr>
      <w:tabs>
        <w:tab w:val="left" w:pos="8505"/>
      </w:tabs>
      <w:jc w:val="left"/>
    </w:pPr>
    <w:rPr>
      <w:b/>
      <w:kern w:val="28"/>
      <w:sz w:val="24"/>
    </w:rPr>
  </w:style>
  <w:style w:type="paragraph" w:customStyle="1" w:styleId="ICS">
    <w:name w:val="ICS"/>
    <w:basedOn w:val="Textnormy"/>
    <w:rsid w:val="002348D5"/>
    <w:pPr>
      <w:tabs>
        <w:tab w:val="right" w:pos="9923"/>
      </w:tabs>
      <w:spacing w:after="480"/>
    </w:pPr>
    <w:rPr>
      <w:kern w:val="28"/>
    </w:rPr>
  </w:style>
  <w:style w:type="paragraph" w:customStyle="1" w:styleId="NzNorCZ">
    <w:name w:val="NázNorCZ"/>
    <w:basedOn w:val="Textnormy"/>
    <w:next w:val="NzNorUS"/>
    <w:rsid w:val="002348D5"/>
    <w:pPr>
      <w:suppressAutoHyphens/>
      <w:spacing w:after="240"/>
      <w:ind w:left="1134" w:right="1134"/>
      <w:jc w:val="center"/>
    </w:pPr>
    <w:rPr>
      <w:b/>
    </w:rPr>
  </w:style>
  <w:style w:type="paragraph" w:customStyle="1" w:styleId="NzNorUS">
    <w:name w:val="NázNorUS"/>
    <w:basedOn w:val="Textnormy"/>
    <w:next w:val="NzNorFraGer"/>
    <w:rsid w:val="002348D5"/>
    <w:pPr>
      <w:suppressAutoHyphens/>
      <w:spacing w:after="240"/>
      <w:ind w:left="1134" w:right="1134"/>
      <w:jc w:val="center"/>
    </w:pPr>
    <w:rPr>
      <w:lang w:val="en-GB"/>
    </w:rPr>
  </w:style>
  <w:style w:type="paragraph" w:customStyle="1" w:styleId="NzNorFraGer">
    <w:name w:val="NázNorFraGer"/>
    <w:basedOn w:val="Textnormy"/>
    <w:next w:val="Textnormy"/>
    <w:rsid w:val="002348D5"/>
    <w:pPr>
      <w:tabs>
        <w:tab w:val="left" w:pos="4536"/>
      </w:tabs>
      <w:suppressAutoHyphens/>
      <w:spacing w:after="480"/>
      <w:jc w:val="left"/>
    </w:pPr>
  </w:style>
  <w:style w:type="paragraph" w:customStyle="1" w:styleId="1StrCN">
    <w:name w:val="1StrCN"/>
    <w:basedOn w:val="Textnormy"/>
    <w:next w:val="1StrTrZn"/>
    <w:rsid w:val="002348D5"/>
    <w:pPr>
      <w:spacing w:before="180" w:after="0" w:line="340" w:lineRule="exact"/>
      <w:jc w:val="left"/>
    </w:pPr>
    <w:rPr>
      <w:b/>
      <w:noProof/>
      <w:sz w:val="32"/>
    </w:rPr>
  </w:style>
  <w:style w:type="paragraph" w:customStyle="1" w:styleId="1StrNN-3-23">
    <w:name w:val="1StrNN-3-23"/>
    <w:basedOn w:val="1StrNN-1-23"/>
    <w:rsid w:val="002348D5"/>
    <w:pPr>
      <w:spacing w:before="300"/>
    </w:pPr>
  </w:style>
  <w:style w:type="paragraph" w:customStyle="1" w:styleId="1StrNN-X">
    <w:name w:val="1StrNN-X"/>
    <w:basedOn w:val="1StrNN-1-23"/>
    <w:rsid w:val="002348D5"/>
    <w:pPr>
      <w:spacing w:before="180" w:after="180"/>
    </w:pPr>
  </w:style>
  <w:style w:type="paragraph" w:styleId="Titulek">
    <w:name w:val="caption"/>
    <w:basedOn w:val="Normln"/>
    <w:next w:val="Normln"/>
    <w:unhideWhenUsed/>
    <w:qFormat/>
    <w:rsid w:val="002348D5"/>
    <w:pPr>
      <w:spacing w:before="120" w:after="120"/>
    </w:pPr>
    <w:rPr>
      <w:b/>
    </w:rPr>
  </w:style>
  <w:style w:type="paragraph" w:customStyle="1" w:styleId="1StrNN-1-4">
    <w:name w:val="1StrNN-1-4"/>
    <w:basedOn w:val="1StrNN-1-23"/>
    <w:rsid w:val="002348D5"/>
    <w:pPr>
      <w:spacing w:before="800"/>
    </w:pPr>
  </w:style>
  <w:style w:type="paragraph" w:customStyle="1" w:styleId="1StrNN-2-4">
    <w:name w:val="1StrNN-2-4"/>
    <w:basedOn w:val="1StrNN-1-23"/>
    <w:rsid w:val="002348D5"/>
  </w:style>
  <w:style w:type="paragraph" w:customStyle="1" w:styleId="1StrNN-3-4">
    <w:name w:val="1StrNN-3-4"/>
    <w:basedOn w:val="1StrNN-1-23"/>
    <w:rsid w:val="002348D5"/>
    <w:pPr>
      <w:spacing w:before="460"/>
    </w:pPr>
  </w:style>
  <w:style w:type="paragraph" w:customStyle="1" w:styleId="1StrNN-4-4">
    <w:name w:val="1StrNN-4-4"/>
    <w:basedOn w:val="1StrNN-1-23"/>
    <w:rsid w:val="002348D5"/>
    <w:pPr>
      <w:spacing w:before="340"/>
    </w:pPr>
  </w:style>
  <w:style w:type="paragraph" w:customStyle="1" w:styleId="ABCSeznamUS">
    <w:name w:val="ABC SeznamUS"/>
    <w:basedOn w:val="Textnormy"/>
    <w:rsid w:val="002348D5"/>
    <w:pPr>
      <w:numPr>
        <w:numId w:val="5"/>
      </w:numPr>
      <w:tabs>
        <w:tab w:val="clear" w:pos="360"/>
      </w:tabs>
    </w:pPr>
    <w:rPr>
      <w:snapToGrid w:val="0"/>
      <w:lang w:val="en-US"/>
    </w:rPr>
  </w:style>
  <w:style w:type="paragraph" w:customStyle="1" w:styleId="TextnormyUS">
    <w:name w:val="Text normy US"/>
    <w:basedOn w:val="Textnormy"/>
    <w:autoRedefine/>
    <w:rsid w:val="002348D5"/>
    <w:pPr>
      <w:spacing w:after="0"/>
    </w:pPr>
    <w:rPr>
      <w:noProof/>
    </w:rPr>
  </w:style>
  <w:style w:type="paragraph" w:customStyle="1" w:styleId="Textnormy1str">
    <w:name w:val="Text normy 1str"/>
    <w:basedOn w:val="Textnormy"/>
    <w:rsid w:val="002348D5"/>
    <w:pPr>
      <w:jc w:val="left"/>
    </w:pPr>
  </w:style>
  <w:style w:type="paragraph" w:customStyle="1" w:styleId="1StrNN-4-3">
    <w:name w:val="1StrNN-4-3"/>
    <w:basedOn w:val="1StrNN-1-23"/>
    <w:rsid w:val="002348D5"/>
    <w:pPr>
      <w:spacing w:before="160"/>
    </w:pPr>
  </w:style>
  <w:style w:type="paragraph" w:customStyle="1" w:styleId="Upozornn">
    <w:name w:val="Upozornění"/>
    <w:basedOn w:val="Normln"/>
    <w:rsid w:val="002348D5"/>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2348D5"/>
  </w:style>
  <w:style w:type="character" w:styleId="Hypertextovodkaz">
    <w:name w:val="Hyperlink"/>
    <w:unhideWhenUsed/>
    <w:rsid w:val="002348D5"/>
    <w:rPr>
      <w:color w:val="0000FF"/>
      <w:u w:val="single"/>
    </w:rPr>
  </w:style>
  <w:style w:type="table" w:styleId="Mkatabulky">
    <w:name w:val="Table Grid"/>
    <w:basedOn w:val="Normlntabulka"/>
    <w:rsid w:val="002348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2348D5"/>
    <w:rPr>
      <w:b/>
      <w:sz w:val="24"/>
    </w:rPr>
  </w:style>
  <w:style w:type="character" w:styleId="Odkaznakoment">
    <w:name w:val="annotation reference"/>
    <w:basedOn w:val="Standardnpsmoodstavce"/>
    <w:unhideWhenUsed/>
    <w:rsid w:val="002348D5"/>
    <w:rPr>
      <w:sz w:val="16"/>
      <w:szCs w:val="16"/>
    </w:rPr>
  </w:style>
  <w:style w:type="paragraph" w:styleId="Textbubliny">
    <w:name w:val="Balloon Text"/>
    <w:basedOn w:val="Normln"/>
    <w:link w:val="TextbublinyChar"/>
    <w:rsid w:val="002348D5"/>
    <w:rPr>
      <w:rFonts w:ascii="Tahoma" w:hAnsi="Tahoma" w:cs="Tahoma"/>
      <w:sz w:val="16"/>
      <w:szCs w:val="16"/>
    </w:rPr>
  </w:style>
  <w:style w:type="character" w:customStyle="1" w:styleId="TextbublinyChar">
    <w:name w:val="Text bubliny Char"/>
    <w:basedOn w:val="Standardnpsmoodstavce"/>
    <w:link w:val="Textbubliny"/>
    <w:rsid w:val="003F077F"/>
    <w:rPr>
      <w:rFonts w:ascii="Tahoma" w:hAnsi="Tahoma" w:cs="Tahoma"/>
      <w:sz w:val="16"/>
      <w:szCs w:val="16"/>
    </w:rPr>
  </w:style>
  <w:style w:type="paragraph" w:styleId="Textkomente">
    <w:name w:val="annotation text"/>
    <w:basedOn w:val="Normln"/>
    <w:link w:val="TextkomenteChar"/>
    <w:unhideWhenUsed/>
    <w:rsid w:val="002348D5"/>
  </w:style>
  <w:style w:type="character" w:customStyle="1" w:styleId="TextkomenteChar">
    <w:name w:val="Text komentáře Char"/>
    <w:basedOn w:val="Standardnpsmoodstavce"/>
    <w:link w:val="Textkomente"/>
    <w:rsid w:val="002348D5"/>
  </w:style>
  <w:style w:type="character" w:customStyle="1" w:styleId="TextnormyCharChar">
    <w:name w:val="Text normy Char Char"/>
    <w:semiHidden/>
    <w:rsid w:val="002348D5"/>
    <w:rPr>
      <w:rFonts w:ascii="Arial" w:hAnsi="Arial"/>
      <w:noProof w:val="0"/>
      <w:lang w:val="cs-CZ" w:eastAsia="cs-CZ" w:bidi="ar-SA"/>
    </w:rPr>
  </w:style>
  <w:style w:type="character" w:customStyle="1" w:styleId="ZkladntextChar">
    <w:name w:val="Základní text Char"/>
    <w:basedOn w:val="Standardnpsmoodstavce"/>
    <w:link w:val="Zkladntext"/>
    <w:semiHidden/>
    <w:rsid w:val="002348D5"/>
  </w:style>
  <w:style w:type="paragraph" w:customStyle="1" w:styleId="NadpisObr">
    <w:name w:val="NadpisObr"/>
    <w:basedOn w:val="Nadpis4"/>
    <w:next w:val="Textnormy"/>
    <w:qFormat/>
    <w:rsid w:val="002348D5"/>
    <w:pPr>
      <w:keepNext w:val="0"/>
      <w:keepLines w:val="0"/>
      <w:widowControl w:val="0"/>
      <w:jc w:val="center"/>
    </w:pPr>
  </w:style>
  <w:style w:type="paragraph" w:customStyle="1" w:styleId="NadpisTab">
    <w:name w:val="NadpisTab"/>
    <w:basedOn w:val="Nadpis4"/>
    <w:next w:val="Textnormy"/>
    <w:qFormat/>
    <w:rsid w:val="002348D5"/>
    <w:pPr>
      <w:jc w:val="center"/>
    </w:pPr>
  </w:style>
  <w:style w:type="paragraph" w:customStyle="1" w:styleId="NadpisTabObr">
    <w:name w:val="NadpisTabObr"/>
    <w:basedOn w:val="Nadpislnku"/>
    <w:next w:val="Textnormy"/>
    <w:rsid w:val="003F077F"/>
    <w:pPr>
      <w:keepNext w:val="0"/>
      <w:jc w:val="center"/>
    </w:pPr>
  </w:style>
  <w:style w:type="paragraph" w:styleId="Pedmtkomente">
    <w:name w:val="annotation subject"/>
    <w:basedOn w:val="Textkomente"/>
    <w:next w:val="Textkomente"/>
    <w:link w:val="PedmtkomenteChar"/>
    <w:semiHidden/>
    <w:unhideWhenUsed/>
    <w:rsid w:val="002348D5"/>
    <w:rPr>
      <w:b/>
      <w:bCs/>
    </w:rPr>
  </w:style>
  <w:style w:type="character" w:customStyle="1" w:styleId="PedmtkomenteChar">
    <w:name w:val="Předmět komentáře Char"/>
    <w:basedOn w:val="TextkomenteChar"/>
    <w:link w:val="Pedmtkomente"/>
    <w:semiHidden/>
    <w:rsid w:val="002348D5"/>
    <w:rPr>
      <w:b/>
      <w:bCs/>
    </w:rPr>
  </w:style>
  <w:style w:type="character" w:customStyle="1" w:styleId="NadpislnkuChar">
    <w:name w:val="Nadpis článku Char"/>
    <w:link w:val="Nadpislnku"/>
    <w:rsid w:val="002348D5"/>
    <w:rPr>
      <w:b/>
    </w:rPr>
  </w:style>
  <w:style w:type="character" w:styleId="Sledovanodkaz">
    <w:name w:val="FollowedHyperlink"/>
    <w:basedOn w:val="Standardnpsmoodstavce"/>
    <w:semiHidden/>
    <w:unhideWhenUsed/>
    <w:rsid w:val="002348D5"/>
    <w:rPr>
      <w:color w:val="954F72" w:themeColor="followedHyperlink"/>
      <w:u w:val="single"/>
    </w:rPr>
  </w:style>
  <w:style w:type="character" w:customStyle="1" w:styleId="SeznamvnormChar">
    <w:name w:val="Seznam v normě Char"/>
    <w:basedOn w:val="TextnormyChar1"/>
    <w:link w:val="Seznamvnorm"/>
    <w:rsid w:val="006357A2"/>
  </w:style>
  <w:style w:type="paragraph" w:styleId="Revize">
    <w:name w:val="Revision"/>
    <w:hidden/>
    <w:uiPriority w:val="99"/>
    <w:semiHidden/>
    <w:rsid w:val="008766D9"/>
  </w:style>
  <w:style w:type="character" w:customStyle="1" w:styleId="cf01">
    <w:name w:val="cf01"/>
    <w:basedOn w:val="Standardnpsmoodstavce"/>
    <w:rsid w:val="002348D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052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iec.ch/members_experts/refdocs" TargetMode="External"/><Relationship Id="rId18" Type="http://schemas.openxmlformats.org/officeDocument/2006/relationships/image" Target="media/image2.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eshop.agentura-cas.cz/"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genturacas.gov.cz/" TargetMode="External"/><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hyperlink" Target="http://webstore.iec.ch" TargetMode="External"/><Relationship Id="rId23" Type="http://schemas.openxmlformats.org/officeDocument/2006/relationships/footer" Target="footer5.xml"/><Relationship Id="rId10" Type="http://schemas.openxmlformats.org/officeDocument/2006/relationships/footer" Target="footer2.xml"/><Relationship Id="rId19" Type="http://schemas.openxmlformats.org/officeDocument/2006/relationships/hyperlink" Target="http://www.cenelec.eu"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iec.ch/standardsdev/publications" TargetMode="External"/><Relationship Id="rId22" Type="http://schemas.openxmlformats.org/officeDocument/2006/relationships/footer" Target="footer4.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Normy25i.dotx</Template>
  <TotalTime>3</TotalTime>
  <Pages>10</Pages>
  <Words>1739</Words>
  <Characters>10266</Characters>
  <Application>Microsoft Office Word</Application>
  <DocSecurity>0</DocSecurity>
  <Lines>85</Lines>
  <Paragraphs>23</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11982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5</cp:revision>
  <cp:lastPrinted>2004-12-14T08:45:00Z</cp:lastPrinted>
  <dcterms:created xsi:type="dcterms:W3CDTF">2024-09-05T06:40:00Z</dcterms:created>
  <dcterms:modified xsi:type="dcterms:W3CDTF">2025-02-04T08:17:00Z</dcterms:modified>
</cp:coreProperties>
</file>