
<file path=[Content_Types].xml><?xml version="1.0" encoding="utf-8"?>
<Types xmlns="http://schemas.openxmlformats.org/package/2006/content-types">
  <Default Extension="emf" ContentType="image/x-emf"/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E87CB4" w14:textId="77777777" w:rsidR="00A83EAB" w:rsidRDefault="001C0F56">
      <w:pPr>
        <w:pStyle w:val="esknorma"/>
      </w:pPr>
      <w:r w:rsidRPr="00F1439F">
        <w:t>PŘEDBĚŽNÁ</w:t>
      </w:r>
      <w:r>
        <w:rPr>
          <w:noProof/>
        </w:rPr>
        <w:t xml:space="preserve"> </w:t>
      </w:r>
      <w:r w:rsidR="0013039D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452C8E6D" wp14:editId="5960CFED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3C83A32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304E633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 xml:space="preserve">ICS </w:t>
      </w:r>
      <w:r w:rsidR="001C0F56">
        <w:rPr>
          <w:rFonts w:cs="Arial"/>
          <w:sz w:val="16"/>
        </w:rPr>
        <w:t>21</w:t>
      </w:r>
      <w:r w:rsidR="001C0F56" w:rsidRPr="00815FE3">
        <w:rPr>
          <w:rFonts w:cs="Arial"/>
          <w:sz w:val="16"/>
        </w:rPr>
        <w:t>.</w:t>
      </w:r>
      <w:r w:rsidR="001C0F56">
        <w:rPr>
          <w:rFonts w:cs="Arial"/>
          <w:sz w:val="16"/>
        </w:rPr>
        <w:t>060</w:t>
      </w:r>
      <w:r w:rsidR="001C0F56" w:rsidRPr="00815FE3">
        <w:rPr>
          <w:rFonts w:cs="Arial"/>
          <w:sz w:val="16"/>
        </w:rPr>
        <w:t>.</w:t>
      </w:r>
      <w:r w:rsidR="001C0F56">
        <w:rPr>
          <w:rFonts w:cs="Arial"/>
          <w:sz w:val="16"/>
        </w:rPr>
        <w:t>01; 91.080.40</w:t>
      </w:r>
      <w:r>
        <w:tab/>
      </w:r>
      <w:r>
        <w:tab/>
      </w:r>
      <w:r>
        <w:rPr>
          <w:b/>
        </w:rPr>
        <w:t xml:space="preserve">Měsíc </w:t>
      </w:r>
      <w:r w:rsidR="001C0F56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226D882F" w14:textId="77777777">
        <w:trPr>
          <w:cantSplit/>
          <w:trHeight w:val="1701"/>
        </w:trPr>
        <w:tc>
          <w:tcPr>
            <w:tcW w:w="7371" w:type="dxa"/>
          </w:tcPr>
          <w:p w14:paraId="0E000015" w14:textId="77777777" w:rsidR="00A83EAB" w:rsidRDefault="001C0F56" w:rsidP="001C0F56">
            <w:pPr>
              <w:pStyle w:val="1StrNN-2-23"/>
            </w:pPr>
            <w:r w:rsidRPr="00D97C8E">
              <w:t>Navrhování kotvení do betonu</w:t>
            </w:r>
            <w:r>
              <w:t xml:space="preserve"> – </w:t>
            </w:r>
            <w:r>
              <w:br/>
              <w:t xml:space="preserve">Část 4-1: </w:t>
            </w:r>
            <w:r w:rsidRPr="007158BF">
              <w:t>Ob</w:t>
            </w:r>
            <w:r>
              <w:t>ecně</w:t>
            </w:r>
          </w:p>
        </w:tc>
        <w:tc>
          <w:tcPr>
            <w:tcW w:w="2552" w:type="dxa"/>
          </w:tcPr>
          <w:p w14:paraId="310FD908" w14:textId="77777777" w:rsidR="001C0F56" w:rsidRPr="00997BDC" w:rsidRDefault="001C0F56" w:rsidP="001C0F56">
            <w:pPr>
              <w:pStyle w:val="1StrCN"/>
              <w:rPr>
                <w:b w:val="0"/>
                <w:sz w:val="28"/>
              </w:rPr>
            </w:pPr>
            <w:r w:rsidRPr="00997BDC">
              <w:t>ČSN P</w:t>
            </w:r>
            <w:r w:rsidRPr="00997BDC">
              <w:br/>
              <w:t>CEN/TS 1992-4-1</w:t>
            </w:r>
            <w:r w:rsidRPr="00997BDC">
              <w:br/>
            </w:r>
          </w:p>
          <w:p w14:paraId="4805D29C" w14:textId="77777777" w:rsidR="00A83EAB" w:rsidRDefault="001C0F56" w:rsidP="001C0F56">
            <w:pPr>
              <w:pStyle w:val="1StrTrZn"/>
            </w:pPr>
            <w:r w:rsidRPr="00997BDC">
              <w:t>73 1220</w:t>
            </w:r>
          </w:p>
        </w:tc>
      </w:tr>
    </w:tbl>
    <w:p w14:paraId="5F0E40EC" w14:textId="77777777" w:rsidR="00A83EAB" w:rsidRDefault="00A83EAB">
      <w:pPr>
        <w:pStyle w:val="Shodnost"/>
      </w:pPr>
    </w:p>
    <w:p w14:paraId="40DD935F" w14:textId="77777777" w:rsidR="001C0F56" w:rsidRPr="00D97C8E" w:rsidRDefault="001C0F56" w:rsidP="001C0F56">
      <w:pPr>
        <w:pStyle w:val="Cizojazynnzev"/>
      </w:pPr>
      <w:r w:rsidRPr="00D97C8E">
        <w:t>Design of fastenings for use in concrete</w:t>
      </w:r>
      <w:r>
        <w:t xml:space="preserve"> – </w:t>
      </w:r>
      <w:r>
        <w:br/>
      </w:r>
      <w:r w:rsidRPr="00D97C8E">
        <w:t>Part 4-1: General</w:t>
      </w:r>
    </w:p>
    <w:p w14:paraId="0F6B8419" w14:textId="77777777" w:rsidR="001C0F56" w:rsidRPr="00D60B9C" w:rsidRDefault="001C0F56" w:rsidP="001C0F56">
      <w:pPr>
        <w:pStyle w:val="Textnormy"/>
        <w:jc w:val="left"/>
        <w:rPr>
          <w:sz w:val="18"/>
        </w:rPr>
      </w:pPr>
      <w:r w:rsidRPr="00D60B9C">
        <w:rPr>
          <w:sz w:val="18"/>
        </w:rPr>
        <w:t>Conception-calcul des éléments de fixation pour béton</w:t>
      </w:r>
      <w:r>
        <w:rPr>
          <w:sz w:val="18"/>
        </w:rPr>
        <w:t xml:space="preserve"> – </w:t>
      </w:r>
      <w:r>
        <w:rPr>
          <w:sz w:val="18"/>
        </w:rPr>
        <w:br/>
      </w:r>
      <w:r w:rsidRPr="00D60B9C">
        <w:rPr>
          <w:sz w:val="18"/>
        </w:rPr>
        <w:t>Partie 4-1: Généralités</w:t>
      </w:r>
    </w:p>
    <w:p w14:paraId="2AB76BBB" w14:textId="77777777" w:rsidR="001C0F56" w:rsidRPr="009D1897" w:rsidRDefault="001C0F56" w:rsidP="001C0F56">
      <w:pPr>
        <w:pStyle w:val="Cizojazynnzev"/>
        <w:spacing w:after="840"/>
        <w:rPr>
          <w:lang w:val="de-DE"/>
        </w:rPr>
      </w:pPr>
      <w:r w:rsidRPr="009D1897">
        <w:rPr>
          <w:lang w:val="de-DE"/>
        </w:rPr>
        <w:t>Bemessung von Befestigungen in Beton</w:t>
      </w:r>
      <w:r>
        <w:rPr>
          <w:lang w:val="de-DE"/>
        </w:rPr>
        <w:t xml:space="preserve"> – </w:t>
      </w:r>
      <w:r>
        <w:rPr>
          <w:lang w:val="de-DE"/>
        </w:rPr>
        <w:br/>
      </w:r>
      <w:r w:rsidRPr="009D1897">
        <w:rPr>
          <w:lang w:val="de-DE"/>
        </w:rPr>
        <w:t>Teil 4-1:</w:t>
      </w:r>
      <w:r>
        <w:rPr>
          <w:lang w:val="de-DE"/>
        </w:rPr>
        <w:t xml:space="preserve"> </w:t>
      </w:r>
      <w:r w:rsidRPr="009D1897">
        <w:rPr>
          <w:lang w:val="de-DE"/>
        </w:rPr>
        <w:t>Allgemeines</w:t>
      </w:r>
    </w:p>
    <w:p w14:paraId="59ACA4B2" w14:textId="77777777" w:rsidR="001C0F56" w:rsidRPr="001C0F56" w:rsidRDefault="001C0F56" w:rsidP="001C0F56">
      <w:pPr>
        <w:pStyle w:val="Textnormy"/>
      </w:pPr>
      <w:r w:rsidRPr="001C0F56">
        <w:t>Tato předběžná norma je českou verzí technické specifikace CEN/TS 1992-4-1:2009. Překlad byl zajištěn Českou agenturou pro standardizaci. Má stejný status jako oficiální verze.</w:t>
      </w:r>
    </w:p>
    <w:p w14:paraId="4F37309B" w14:textId="77777777" w:rsidR="001C0F56" w:rsidRPr="001C0F56" w:rsidRDefault="001C0F56" w:rsidP="001C0F56">
      <w:pPr>
        <w:pStyle w:val="Textnormy"/>
        <w:rPr>
          <w:lang w:val="en-US"/>
        </w:rPr>
      </w:pPr>
      <w:r w:rsidRPr="001C0F56">
        <w:rPr>
          <w:lang w:val="en-GB"/>
        </w:rPr>
        <w:t xml:space="preserve">This prestandard is the Czech version of the Technical Specification </w:t>
      </w:r>
      <w:r w:rsidRPr="001C0F56">
        <w:t>CEN/TS 1992-4-1:2009</w:t>
      </w:r>
      <w:r w:rsidRPr="001C0F56">
        <w:rPr>
          <w:lang w:val="en-GB"/>
        </w:rPr>
        <w:t xml:space="preserve">. </w:t>
      </w:r>
      <w:r w:rsidRPr="001C0F56">
        <w:rPr>
          <w:lang w:val="en-US"/>
        </w:rPr>
        <w:t xml:space="preserve">It was translated by the </w:t>
      </w:r>
      <w:r w:rsidRPr="001C0F56">
        <w:t>Czech Standardization Agency</w:t>
      </w:r>
      <w:r w:rsidRPr="001C0F56">
        <w:rPr>
          <w:lang w:val="en-US"/>
        </w:rPr>
        <w:t>. It has the same status as the official version.</w:t>
      </w:r>
    </w:p>
    <w:p w14:paraId="13509263" w14:textId="77777777" w:rsidR="001C0F56" w:rsidRPr="001C0F56" w:rsidRDefault="001C0F56" w:rsidP="001C0F56">
      <w:pPr>
        <w:pStyle w:val="Nadpislnku"/>
      </w:pPr>
      <w:r w:rsidRPr="001C0F56">
        <w:t>Nahrazení předchozích norem</w:t>
      </w:r>
    </w:p>
    <w:p w14:paraId="150C9EE8" w14:textId="1ED6CDE4" w:rsidR="001C0F56" w:rsidRPr="001C0F56" w:rsidRDefault="001C0F56" w:rsidP="001C0F56">
      <w:pPr>
        <w:pStyle w:val="Textnormy"/>
        <w:rPr>
          <w:lang w:val="pt-BR"/>
        </w:rPr>
      </w:pPr>
      <w:r w:rsidRPr="001C0F56">
        <w:rPr>
          <w:lang w:val="pt-BR"/>
        </w:rPr>
        <w:t>Touto normou se nahrazuje ČSN P CEN/TS</w:t>
      </w:r>
      <w:r w:rsidR="003C1B09">
        <w:rPr>
          <w:lang w:val="pt-BR"/>
        </w:rPr>
        <w:t> </w:t>
      </w:r>
      <w:r w:rsidRPr="001C0F56">
        <w:rPr>
          <w:lang w:val="pt-BR"/>
        </w:rPr>
        <w:t>1992-4-1 (73</w:t>
      </w:r>
      <w:r w:rsidR="003C1B09">
        <w:rPr>
          <w:lang w:val="pt-BR"/>
        </w:rPr>
        <w:t> </w:t>
      </w:r>
      <w:r w:rsidRPr="001C0F56">
        <w:rPr>
          <w:lang w:val="pt-BR"/>
        </w:rPr>
        <w:t>1220) z února 2010.</w:t>
      </w:r>
    </w:p>
    <w:p w14:paraId="2038F3F0" w14:textId="77777777" w:rsidR="00A83EAB" w:rsidRDefault="00A83EAB">
      <w:pPr>
        <w:pStyle w:val="Textnormy"/>
        <w:tabs>
          <w:tab w:val="right" w:pos="9923"/>
        </w:tabs>
      </w:pPr>
    </w:p>
    <w:p w14:paraId="43F306DE" w14:textId="77777777" w:rsidR="00A83EAB" w:rsidRDefault="00A83EAB">
      <w:pPr>
        <w:pStyle w:val="Textnormy"/>
        <w:tabs>
          <w:tab w:val="right" w:pos="9923"/>
        </w:tabs>
        <w:sectPr w:rsidR="00A83EAB" w:rsidSect="004B55A7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5D5B53D4" w14:textId="77777777" w:rsidR="001C0F56" w:rsidRPr="00695397" w:rsidRDefault="001C0F56" w:rsidP="001C0F56">
      <w:pPr>
        <w:pStyle w:val="Nadpiskapitoly"/>
        <w:spacing w:before="0"/>
      </w:pPr>
      <w:r w:rsidRPr="00695397">
        <w:lastRenderedPageBreak/>
        <w:t xml:space="preserve">Národní předmluva </w:t>
      </w:r>
    </w:p>
    <w:p w14:paraId="13ABDC69" w14:textId="77777777" w:rsidR="001C0F56" w:rsidRPr="001C0F56" w:rsidRDefault="001C0F56" w:rsidP="001C0F56">
      <w:pPr>
        <w:pStyle w:val="Nadpislnku"/>
      </w:pPr>
      <w:r w:rsidRPr="001C0F56">
        <w:t>Upozornění na používání této normy</w:t>
      </w:r>
    </w:p>
    <w:p w14:paraId="43336D4E" w14:textId="189CEB91" w:rsidR="001C0F56" w:rsidRPr="001C0F56" w:rsidRDefault="001C0F56" w:rsidP="001C0F56">
      <w:pPr>
        <w:pStyle w:val="Textnormy"/>
        <w:suppressAutoHyphens/>
        <w:rPr>
          <w:strike/>
          <w:snapToGrid w:val="0"/>
        </w:rPr>
      </w:pPr>
      <w:r w:rsidRPr="001C0F56">
        <w:t>Tato předběžná česká technická norma přejímá technickou specifikaci CEN/TS 1992-4-1:2009 vydanou v souladu s vnitřními předpisy CEN/CENELEC, část 2</w:t>
      </w:r>
      <w:r w:rsidR="003C1B09">
        <w:t xml:space="preserve"> </w:t>
      </w:r>
      <w:r w:rsidRPr="001C0F56">
        <w:t xml:space="preserve">a je určena k ověření. </w:t>
      </w:r>
      <w:r w:rsidRPr="001C0F56">
        <w:rPr>
          <w:rFonts w:cs="Arial"/>
        </w:rPr>
        <w:t xml:space="preserve">Případné připomínky k obsahu normy přijímá </w:t>
      </w:r>
      <w:r w:rsidRPr="001C0F56">
        <w:t>Česká agentura pro standardizaci</w:t>
      </w:r>
      <w:r w:rsidRPr="001C0F56">
        <w:rPr>
          <w:rFonts w:cs="Arial"/>
        </w:rPr>
        <w:t>.</w:t>
      </w:r>
    </w:p>
    <w:p w14:paraId="26F515EA" w14:textId="77777777" w:rsidR="001C0F56" w:rsidRPr="001C0F56" w:rsidRDefault="001C0F56" w:rsidP="001C0F56">
      <w:pPr>
        <w:pStyle w:val="Textnormy"/>
        <w:rPr>
          <w:snapToGrid w:val="0"/>
        </w:rPr>
      </w:pPr>
      <w:r w:rsidRPr="001C0F56">
        <w:rPr>
          <w:snapToGrid w:val="0"/>
        </w:rPr>
        <w:t>Převzetí TS do národních norem členů CEN/CENELEC není povinné a tato TS nemusí být na národní úrovni převzata jako normativní dokument.</w:t>
      </w:r>
    </w:p>
    <w:p w14:paraId="23567DEA" w14:textId="77777777" w:rsidR="001C0F56" w:rsidRPr="001C0F56" w:rsidRDefault="001C0F56" w:rsidP="001C0F56">
      <w:pPr>
        <w:pStyle w:val="Textnormy"/>
        <w:rPr>
          <w:snapToGrid w:val="0"/>
        </w:rPr>
      </w:pPr>
      <w:r w:rsidRPr="001C0F56">
        <w:rPr>
          <w:rFonts w:cs="Arial"/>
          <w:color w:val="000000"/>
        </w:rPr>
        <w:t>Převzetí TS nevyžaduje zrušení konfliktních národních norem platných pro stejný předmět normalizace. Je přípustné ponechat konfliktní národní normy v platnosti, dokud se nedosáhne konečného rozhodnutí o možnosti převedení této CEN/TS na EN.</w:t>
      </w:r>
    </w:p>
    <w:p w14:paraId="48292D8F" w14:textId="77777777" w:rsidR="001C0F56" w:rsidRPr="001C0F56" w:rsidRDefault="001C0F56" w:rsidP="001C0F56">
      <w:pPr>
        <w:pStyle w:val="Nadpislnku"/>
      </w:pPr>
      <w:r w:rsidRPr="001C0F56">
        <w:t>Změny proti předchozí normě</w:t>
      </w:r>
    </w:p>
    <w:p w14:paraId="6EC59F96" w14:textId="07DB15CA" w:rsidR="001C0F56" w:rsidRPr="001C0F56" w:rsidRDefault="001C0F56" w:rsidP="001C0F56">
      <w:pPr>
        <w:pStyle w:val="Textnormy"/>
      </w:pPr>
      <w:r w:rsidRPr="001C0F56">
        <w:t>Proti předchozí normě dochází ke změně způsobu převzetí CEN/TS 1992-4-1:2009 do soustavy norem ČSN. Zatímco ČSN P CEN/TS</w:t>
      </w:r>
      <w:r w:rsidR="003C1B09">
        <w:t> </w:t>
      </w:r>
      <w:r w:rsidRPr="001C0F56">
        <w:t>1992-4-1 z února 2010 převzala CEN/TS</w:t>
      </w:r>
      <w:r w:rsidR="003C1B09">
        <w:t> </w:t>
      </w:r>
      <w:r w:rsidRPr="001C0F56">
        <w:t>1992-4-1:2009 schválením k přímému používání jako ČSN P, tato norma ji přejímá překladem.</w:t>
      </w:r>
    </w:p>
    <w:p w14:paraId="2E883920" w14:textId="77777777" w:rsidR="001C0F56" w:rsidRPr="001C0F56" w:rsidRDefault="001C0F56" w:rsidP="001C0F56">
      <w:pPr>
        <w:pStyle w:val="Nadpislnku"/>
      </w:pPr>
      <w:r w:rsidRPr="001C0F56">
        <w:t>Informace o citovaných dokumentech</w:t>
      </w:r>
    </w:p>
    <w:p w14:paraId="3B044F60" w14:textId="77777777" w:rsidR="001C0F56" w:rsidRPr="001C0F56" w:rsidRDefault="001C0F56" w:rsidP="00A2103F">
      <w:pPr>
        <w:pStyle w:val="Textnormy"/>
        <w:spacing w:after="100"/>
        <w:rPr>
          <w:lang w:eastAsia="fr-FR"/>
        </w:rPr>
      </w:pPr>
      <w:r w:rsidRPr="001C0F56">
        <w:rPr>
          <w:lang w:eastAsia="fr-FR"/>
        </w:rPr>
        <w:t>EN 206-1</w:t>
      </w:r>
      <w:r w:rsidRPr="001C0F56">
        <w:rPr>
          <w:rFonts w:ascii="Arial Unicode MS" w:eastAsia="Arial Unicode MS" w:hAnsi="Arial Unicode MS" w:cs="Arial Unicode MS" w:hint="eastAsia"/>
        </w:rPr>
        <w:t> </w:t>
      </w:r>
      <w:r w:rsidRPr="001C0F56">
        <w:t xml:space="preserve">zavedena v ČSN EN 206-1 (73 2403) Beton – Část 1: Specifikace, vlastnosti, výroba a shoda </w:t>
      </w:r>
    </w:p>
    <w:p w14:paraId="2F65EC0B" w14:textId="77777777" w:rsidR="001C0F56" w:rsidRPr="001C0F56" w:rsidRDefault="001C0F56" w:rsidP="00A2103F">
      <w:pPr>
        <w:pStyle w:val="Textnormy"/>
        <w:spacing w:after="100"/>
      </w:pPr>
      <w:r w:rsidRPr="001C0F56">
        <w:t>EN 1990:2002</w:t>
      </w:r>
      <w:r w:rsidRPr="001C0F56">
        <w:rPr>
          <w:rFonts w:ascii="Arial Unicode MS" w:eastAsia="Arial Unicode MS" w:hAnsi="Arial Unicode MS" w:cs="Arial Unicode MS" w:hint="eastAsia"/>
        </w:rPr>
        <w:t> </w:t>
      </w:r>
      <w:r w:rsidRPr="001C0F56">
        <w:t>zavedena v ČSN EN 1990:2004 (73 0002)</w:t>
      </w:r>
      <w:r w:rsidRPr="001C0F56">
        <w:rPr>
          <w:iCs/>
        </w:rPr>
        <w:t xml:space="preserve"> </w:t>
      </w:r>
      <w:r w:rsidRPr="001C0F56">
        <w:t>Eurokód: Zásady navrhování konstrukcí</w:t>
      </w:r>
    </w:p>
    <w:p w14:paraId="741D377D" w14:textId="77777777" w:rsidR="001C0F56" w:rsidRPr="001C0F56" w:rsidRDefault="001C0F56" w:rsidP="00A2103F">
      <w:pPr>
        <w:pStyle w:val="Textnormy"/>
        <w:spacing w:after="100"/>
      </w:pPr>
      <w:r w:rsidRPr="001C0F56">
        <w:t>EN 1992-1-1:2004</w:t>
      </w:r>
      <w:r w:rsidRPr="001C0F56">
        <w:rPr>
          <w:rFonts w:ascii="Arial Unicode MS" w:eastAsia="Arial Unicode MS" w:hAnsi="Arial Unicode MS" w:cs="Arial Unicode MS" w:hint="eastAsia"/>
        </w:rPr>
        <w:t> </w:t>
      </w:r>
      <w:r w:rsidRPr="001C0F56">
        <w:t>zavedena v ČSN EN 1992-1-1:2006 (73 1201) Eurokód 2: Navrhování betonových konstrukcí – Část 1-1: Obecná pravidla a pravidla pro pozemní stavby</w:t>
      </w:r>
    </w:p>
    <w:p w14:paraId="1FE699EB" w14:textId="77777777" w:rsidR="001C0F56" w:rsidRPr="001C0F56" w:rsidRDefault="001C0F56" w:rsidP="00A2103F">
      <w:pPr>
        <w:pStyle w:val="Textnormy"/>
        <w:spacing w:after="100"/>
        <w:rPr>
          <w:lang w:eastAsia="fr-FR"/>
        </w:rPr>
      </w:pPr>
      <w:r w:rsidRPr="001C0F56">
        <w:rPr>
          <w:spacing w:val="-2"/>
          <w:lang w:eastAsia="fr-FR"/>
        </w:rPr>
        <w:t>EN 1993-1-1:2005</w:t>
      </w:r>
      <w:r w:rsidRPr="001C0F56">
        <w:rPr>
          <w:rFonts w:ascii="Arial Unicode MS" w:eastAsia="Arial Unicode MS" w:hAnsi="Arial Unicode MS" w:cs="Arial Unicode MS" w:hint="eastAsia"/>
          <w:spacing w:val="-2"/>
        </w:rPr>
        <w:t> </w:t>
      </w:r>
      <w:r w:rsidRPr="001C0F56">
        <w:rPr>
          <w:spacing w:val="-2"/>
        </w:rPr>
        <w:t>zavedena v ČSN EN </w:t>
      </w:r>
      <w:r w:rsidRPr="001C0F56">
        <w:rPr>
          <w:spacing w:val="-2"/>
          <w:lang w:eastAsia="fr-FR"/>
        </w:rPr>
        <w:t>1993-1-1:2006 (</w:t>
      </w:r>
      <w:r w:rsidRPr="001C0F56">
        <w:rPr>
          <w:spacing w:val="-2"/>
        </w:rPr>
        <w:t xml:space="preserve">73 1401) Eurokód 3: Navrhování ocelových konstrukcí – </w:t>
      </w:r>
      <w:r w:rsidRPr="001C0F56">
        <w:t xml:space="preserve">Část 1-1: Obecná pravidla a pravidla pro pozemní stavby </w:t>
      </w:r>
    </w:p>
    <w:p w14:paraId="6CAB883D" w14:textId="77777777" w:rsidR="001C0F56" w:rsidRPr="001C0F56" w:rsidRDefault="001C0F56" w:rsidP="00A2103F">
      <w:pPr>
        <w:pStyle w:val="Textnormy"/>
        <w:spacing w:after="100"/>
        <w:rPr>
          <w:lang w:eastAsia="fr-FR"/>
        </w:rPr>
      </w:pPr>
      <w:r w:rsidRPr="001C0F56">
        <w:rPr>
          <w:spacing w:val="-2"/>
          <w:lang w:eastAsia="fr-FR"/>
        </w:rPr>
        <w:t>EN 1993-1-8:2005</w:t>
      </w:r>
      <w:r w:rsidRPr="001C0F56">
        <w:rPr>
          <w:rFonts w:ascii="Arial Unicode MS" w:eastAsia="Arial Unicode MS" w:hAnsi="Arial Unicode MS" w:cs="Arial Unicode MS" w:hint="eastAsia"/>
          <w:spacing w:val="-2"/>
        </w:rPr>
        <w:t> </w:t>
      </w:r>
      <w:r w:rsidRPr="001C0F56">
        <w:rPr>
          <w:spacing w:val="-2"/>
        </w:rPr>
        <w:t>zavedena v ČSN EN </w:t>
      </w:r>
      <w:r w:rsidRPr="001C0F56">
        <w:rPr>
          <w:spacing w:val="-2"/>
          <w:lang w:eastAsia="fr-FR"/>
        </w:rPr>
        <w:t xml:space="preserve">1993-1-8:2006 </w:t>
      </w:r>
      <w:r w:rsidRPr="001C0F56">
        <w:rPr>
          <w:rFonts w:ascii="Arial Unicode MS" w:eastAsia="Arial Unicode MS" w:hAnsi="Arial Unicode MS" w:cs="Arial Unicode MS"/>
          <w:spacing w:val="-2"/>
        </w:rPr>
        <w:t>(</w:t>
      </w:r>
      <w:r w:rsidRPr="001C0F56">
        <w:rPr>
          <w:spacing w:val="-2"/>
        </w:rPr>
        <w:t>73 1401) Eurokód 3: Navrhování ocelových konstrukcí –</w:t>
      </w:r>
      <w:r w:rsidRPr="001C0F56">
        <w:t xml:space="preserve"> Část 1-8: Navrhování styčníků</w:t>
      </w:r>
    </w:p>
    <w:p w14:paraId="0B966B06" w14:textId="77777777" w:rsidR="001C0F56" w:rsidRPr="001C0F56" w:rsidRDefault="001C0F56" w:rsidP="00A2103F">
      <w:pPr>
        <w:pStyle w:val="Textnormy"/>
        <w:spacing w:after="100"/>
        <w:rPr>
          <w:lang w:eastAsia="fr-FR"/>
        </w:rPr>
      </w:pPr>
      <w:r w:rsidRPr="001C0F56">
        <w:rPr>
          <w:lang w:eastAsia="fr-FR"/>
        </w:rPr>
        <w:t>EN 10002-1</w:t>
      </w:r>
      <w:r w:rsidRPr="001C0F56">
        <w:rPr>
          <w:rFonts w:ascii="Arial Unicode MS" w:eastAsia="Arial Unicode MS" w:hAnsi="Arial Unicode MS" w:cs="Arial Unicode MS" w:hint="eastAsia"/>
        </w:rPr>
        <w:t> </w:t>
      </w:r>
      <w:r w:rsidRPr="001C0F56">
        <w:t>nezavedena</w:t>
      </w:r>
      <w:r w:rsidRPr="001C0F56">
        <w:rPr>
          <w:rStyle w:val="Znakapoznpodarou"/>
        </w:rPr>
        <w:footnoteReference w:id="1"/>
      </w:r>
      <w:r w:rsidRPr="001C0F56">
        <w:rPr>
          <w:vertAlign w:val="superscript"/>
        </w:rPr>
        <w:t>)</w:t>
      </w:r>
    </w:p>
    <w:p w14:paraId="24947729" w14:textId="77777777" w:rsidR="001C0F56" w:rsidRPr="001C0F56" w:rsidRDefault="001C0F56" w:rsidP="00A2103F">
      <w:pPr>
        <w:pStyle w:val="Textnormy"/>
        <w:spacing w:after="100"/>
        <w:rPr>
          <w:lang w:eastAsia="fr-FR"/>
        </w:rPr>
      </w:pPr>
      <w:r w:rsidRPr="001C0F56">
        <w:rPr>
          <w:lang w:eastAsia="fr-FR"/>
        </w:rPr>
        <w:t>EN ISO 13918</w:t>
      </w:r>
      <w:r w:rsidRPr="001C0F56">
        <w:rPr>
          <w:rFonts w:ascii="Arial Unicode MS" w:eastAsia="Arial Unicode MS" w:hAnsi="Arial Unicode MS" w:cs="Arial Unicode MS" w:hint="eastAsia"/>
        </w:rPr>
        <w:t> </w:t>
      </w:r>
      <w:r w:rsidRPr="001C0F56">
        <w:t>zavedena v ČSN EN </w:t>
      </w:r>
      <w:r w:rsidRPr="001C0F56">
        <w:rPr>
          <w:lang w:eastAsia="fr-FR"/>
        </w:rPr>
        <w:t>13918 (</w:t>
      </w:r>
      <w:r w:rsidRPr="001C0F56">
        <w:t>05 2420) Svařování – Svorníky a keramické kroužky pro obloukové přivařování svorníků</w:t>
      </w:r>
    </w:p>
    <w:p w14:paraId="6EAC1949" w14:textId="77777777" w:rsidR="001C0F56" w:rsidRPr="001C0F56" w:rsidRDefault="001C0F56" w:rsidP="00A2103F">
      <w:pPr>
        <w:pStyle w:val="Textnormy"/>
        <w:spacing w:after="100"/>
        <w:rPr>
          <w:lang w:eastAsia="fr-FR"/>
        </w:rPr>
      </w:pPr>
      <w:r w:rsidRPr="001C0F56">
        <w:rPr>
          <w:lang w:eastAsia="fr-FR"/>
        </w:rPr>
        <w:t>ISO 273</w:t>
      </w:r>
      <w:r w:rsidRPr="001C0F56">
        <w:rPr>
          <w:rFonts w:ascii="Arial Unicode MS" w:eastAsia="Arial Unicode MS" w:hAnsi="Arial Unicode MS" w:cs="Arial Unicode MS" w:hint="eastAsia"/>
        </w:rPr>
        <w:t> </w:t>
      </w:r>
      <w:r w:rsidRPr="001C0F56">
        <w:t>zavedena</w:t>
      </w:r>
      <w:r w:rsidRPr="001C0F56">
        <w:rPr>
          <w:lang w:eastAsia="fr-FR"/>
        </w:rPr>
        <w:t xml:space="preserve"> v ČSN EN 20273 (02 1050) Spojovací součásti – Díry pro šrouby </w:t>
      </w:r>
    </w:p>
    <w:p w14:paraId="5B530AF7" w14:textId="77777777" w:rsidR="001C0F56" w:rsidRPr="001C0F56" w:rsidRDefault="001C0F56" w:rsidP="00A2103F">
      <w:pPr>
        <w:pStyle w:val="Textnormy"/>
        <w:spacing w:after="100"/>
      </w:pPr>
      <w:r w:rsidRPr="001C0F56">
        <w:rPr>
          <w:lang w:eastAsia="fr-FR"/>
        </w:rPr>
        <w:t>ISO 5922</w:t>
      </w:r>
      <w:r w:rsidRPr="001C0F56">
        <w:rPr>
          <w:rFonts w:ascii="Arial Unicode MS" w:eastAsia="Arial Unicode MS" w:hAnsi="Arial Unicode MS" w:cs="Arial Unicode MS" w:hint="eastAsia"/>
        </w:rPr>
        <w:t> </w:t>
      </w:r>
      <w:r w:rsidRPr="001C0F56">
        <w:rPr>
          <w:rFonts w:ascii="Arial Unicode MS" w:eastAsia="Arial Unicode MS" w:hAnsi="Arial Unicode MS" w:cs="Arial Unicode MS"/>
        </w:rPr>
        <w:t>ne</w:t>
      </w:r>
      <w:r w:rsidRPr="001C0F56">
        <w:t>zavedena</w:t>
      </w:r>
    </w:p>
    <w:p w14:paraId="1BD892E7" w14:textId="77777777" w:rsidR="001C0F56" w:rsidRPr="001C0F56" w:rsidRDefault="001C0F56" w:rsidP="001C0F56">
      <w:pPr>
        <w:pStyle w:val="Nadpislnku"/>
        <w:outlineLvl w:val="0"/>
        <w:rPr>
          <w:rFonts w:cs="Arial"/>
        </w:rPr>
      </w:pPr>
      <w:r w:rsidRPr="001C0F56">
        <w:rPr>
          <w:rFonts w:cs="Arial"/>
        </w:rPr>
        <w:t>Upozornění na národní poznámky</w:t>
      </w:r>
    </w:p>
    <w:p w14:paraId="5E887458" w14:textId="607B260E" w:rsidR="001C0F56" w:rsidRPr="001C0F56" w:rsidRDefault="001C0F56" w:rsidP="001C0F56">
      <w:pPr>
        <w:pStyle w:val="Textnormy"/>
      </w:pPr>
      <w:r w:rsidRPr="001C0F56">
        <w:t xml:space="preserve">Do normy byly doplněny národní poznámky odkazující na články národní přílohy a dále národní poznámky </w:t>
      </w:r>
      <w:r>
        <w:br/>
      </w:r>
      <w:r w:rsidRPr="001C0F56">
        <w:t xml:space="preserve">k evropské předmluvě, ke kapitole 2, k článkům 3.2.3.1, 4.4.3.1.2, 5.2.2.2, 5.2.3.4, 7.3.1, A.1, A.2.3, B.2.2, B.2.3, B.2.4, B.3.2.1.4 a obrázkům </w:t>
      </w:r>
      <w:smartTag w:uri="urn:schemas-microsoft-com:office:smarttags" w:element="metricconverter">
        <w:smartTagPr>
          <w:attr w:name="ProductID" w:val="8ﾠa"/>
        </w:smartTagPr>
        <w:r w:rsidRPr="001C0F56">
          <w:t>8 a</w:t>
        </w:r>
      </w:smartTag>
      <w:r w:rsidRPr="001C0F56">
        <w:t xml:space="preserve"> 13.</w:t>
      </w:r>
    </w:p>
    <w:p w14:paraId="33E4384C" w14:textId="77777777" w:rsidR="001C0F56" w:rsidRPr="001C0F56" w:rsidRDefault="001C0F56" w:rsidP="001C0F56">
      <w:pPr>
        <w:pStyle w:val="Nadpislnku"/>
        <w:outlineLvl w:val="0"/>
        <w:rPr>
          <w:rFonts w:cs="Arial"/>
        </w:rPr>
      </w:pPr>
      <w:r w:rsidRPr="001C0F56">
        <w:rPr>
          <w:rFonts w:cs="Arial"/>
        </w:rPr>
        <w:t>Upozornění na národní přílohu</w:t>
      </w:r>
    </w:p>
    <w:p w14:paraId="55509DC4" w14:textId="77777777" w:rsidR="001C0F56" w:rsidRDefault="001C0F56" w:rsidP="001C0F56">
      <w:pPr>
        <w:pStyle w:val="Textnormy"/>
      </w:pPr>
      <w:r w:rsidRPr="001C0F56">
        <w:rPr>
          <w:lang w:eastAsia="fr-FR"/>
        </w:rPr>
        <w:t xml:space="preserve">Do normy byla doplněna národní příloha NA, která obsahuje </w:t>
      </w:r>
      <w:r w:rsidRPr="001C0F56">
        <w:t>národně stanovené parametry potřebné pro navrhování kotvení, které se má použít na území České republiky, a doplňující informace.</w:t>
      </w:r>
    </w:p>
    <w:p w14:paraId="5FE62E6A" w14:textId="77777777" w:rsidR="00186FAF" w:rsidRDefault="00186FAF" w:rsidP="00186FAF">
      <w:pPr>
        <w:pStyle w:val="Nadpislnku"/>
      </w:pPr>
      <w:r w:rsidRPr="00AC0FA5">
        <w:t>Vypracování normy</w:t>
      </w:r>
    </w:p>
    <w:p w14:paraId="471F86A0" w14:textId="3D2D66F3" w:rsidR="00186FAF" w:rsidRDefault="00BF01E6" w:rsidP="00186FAF">
      <w:pPr>
        <w:pStyle w:val="Textnormy"/>
        <w:rPr>
          <w:bCs/>
        </w:rPr>
      </w:pPr>
      <w:r>
        <w:t>Zpracovatel odborného překladu</w:t>
      </w:r>
      <w:r>
        <w:rPr>
          <w:bCs/>
        </w:rPr>
        <w:t xml:space="preserve">: </w:t>
      </w:r>
      <w:r w:rsidRPr="00186FAF">
        <w:rPr>
          <w:bCs/>
        </w:rPr>
        <w:t>STÚ – K, a. s.; IČ 63080478; Ing. Václav Vimmr, CSc.</w:t>
      </w:r>
      <w:r>
        <w:rPr>
          <w:bCs/>
        </w:rPr>
        <w:t xml:space="preserve">; </w:t>
      </w:r>
      <w:r w:rsidRPr="00186FAF">
        <w:rPr>
          <w:bCs/>
        </w:rPr>
        <w:t>spoluprác</w:t>
      </w:r>
      <w:r>
        <w:rPr>
          <w:bCs/>
        </w:rPr>
        <w:t>e: </w:t>
      </w:r>
      <w:r w:rsidRPr="00186FAF">
        <w:rPr>
          <w:bCs/>
        </w:rPr>
        <w:t>Hilti ČR spol. s r. o.</w:t>
      </w:r>
      <w:r>
        <w:rPr>
          <w:bCs/>
        </w:rPr>
        <w:t xml:space="preserve">, </w:t>
      </w:r>
      <w:r w:rsidRPr="00186FAF">
        <w:rPr>
          <w:bCs/>
        </w:rPr>
        <w:t>Ing. Jan Joná</w:t>
      </w:r>
      <w:r>
        <w:rPr>
          <w:bCs/>
        </w:rPr>
        <w:t>š</w:t>
      </w:r>
    </w:p>
    <w:p w14:paraId="609EE893" w14:textId="5BA46597" w:rsidR="00186FAF" w:rsidRPr="00186FAF" w:rsidRDefault="00186FAF" w:rsidP="00186FAF">
      <w:pPr>
        <w:pStyle w:val="Textnormy"/>
        <w:rPr>
          <w:bCs/>
          <w:i/>
          <w:iCs/>
        </w:rPr>
      </w:pPr>
      <w:r>
        <w:t xml:space="preserve">Technická normalizační komise: </w:t>
      </w:r>
      <w:r w:rsidRPr="00186FAF">
        <w:t>TNK 36 Betonové konstrukce</w:t>
      </w:r>
    </w:p>
    <w:p w14:paraId="3F5C80D4" w14:textId="13B1FA21" w:rsidR="00186FAF" w:rsidRPr="001B3344" w:rsidRDefault="00186FAF" w:rsidP="00186FAF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E20AA5">
          <w:rPr>
            <w:rStyle w:val="Hypertextovodkaz"/>
          </w:rPr>
          <w:t>Česká agentura pro standardizaci, státní příspěvková organizace</w:t>
        </w:r>
      </w:hyperlink>
    </w:p>
    <w:p w14:paraId="5AC72D2A" w14:textId="123C7E9E" w:rsidR="00186FAF" w:rsidRDefault="00186FAF" w:rsidP="00186FAF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E20AA5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64085114" w14:textId="19A41610" w:rsidR="00186FAF" w:rsidRDefault="00186FAF" w:rsidP="00BE31FF">
      <w:pPr>
        <w:pStyle w:val="Textnormy"/>
        <w:rPr>
          <w:rFonts w:cs="Arial"/>
        </w:rPr>
      </w:pPr>
      <w:r>
        <w:rPr>
          <w:rFonts w:cs="Arial"/>
        </w:rPr>
        <w:lastRenderedPageBreak/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5E6E5744" w14:textId="77777777" w:rsidR="00BE31FF" w:rsidRPr="00186FAF" w:rsidRDefault="00BE31FF" w:rsidP="00BE31FF">
      <w:pPr>
        <w:pStyle w:val="Textnormy"/>
        <w:pageBreakBefore/>
        <w:rPr>
          <w:lang w:eastAsia="fr-FR"/>
        </w:rPr>
      </w:pPr>
    </w:p>
    <w:p w14:paraId="20E3215D" w14:textId="77777777" w:rsidR="001C0F56" w:rsidRPr="0017339A" w:rsidRDefault="001C0F56" w:rsidP="001C0F56">
      <w:pPr>
        <w:pStyle w:val="EvropNorma"/>
        <w:tabs>
          <w:tab w:val="clear" w:pos="8505"/>
          <w:tab w:val="left" w:pos="7938"/>
        </w:tabs>
      </w:pPr>
      <w:r w:rsidRPr="0017339A">
        <w:lastRenderedPageBreak/>
        <w:t>TECHNICKÁ SPECIFIKACE</w:t>
      </w:r>
      <w:r w:rsidRPr="0017339A">
        <w:tab/>
        <w:t>CEN/TS </w:t>
      </w:r>
      <w:r>
        <w:t>1992-4-1</w:t>
      </w:r>
      <w:r w:rsidRPr="0017339A">
        <w:br/>
        <w:t>TECHNICAL SPECIFICATION</w:t>
      </w:r>
      <w:r w:rsidRPr="0017339A">
        <w:rPr>
          <w:b w:val="0"/>
          <w:sz w:val="20"/>
        </w:rPr>
        <w:br/>
      </w:r>
      <w:r w:rsidRPr="0017339A">
        <w:t>SPÉCIFICATION TECHNIQUE</w:t>
      </w:r>
      <w:r w:rsidRPr="0017339A">
        <w:br/>
        <w:t>TECHNISCHE SPEZIFIKATION</w:t>
      </w:r>
      <w:r w:rsidRPr="0017339A">
        <w:tab/>
      </w:r>
      <w:r>
        <w:rPr>
          <w:b w:val="0"/>
          <w:sz w:val="20"/>
        </w:rPr>
        <w:t>Květen</w:t>
      </w:r>
      <w:r w:rsidRPr="0017339A">
        <w:rPr>
          <w:b w:val="0"/>
          <w:sz w:val="20"/>
        </w:rPr>
        <w:t xml:space="preserve"> 200</w:t>
      </w:r>
      <w:r>
        <w:rPr>
          <w:b w:val="0"/>
          <w:sz w:val="20"/>
        </w:rPr>
        <w:t>9</w:t>
      </w:r>
    </w:p>
    <w:p w14:paraId="4483BB16" w14:textId="77777777" w:rsidR="001C0F56" w:rsidRPr="000035A3" w:rsidRDefault="001C0F56" w:rsidP="001C0F56">
      <w:pPr>
        <w:pStyle w:val="ICS"/>
        <w:rPr>
          <w:kern w:val="0"/>
        </w:rPr>
      </w:pPr>
      <w:r w:rsidRPr="00501D8C">
        <w:rPr>
          <w:kern w:val="0"/>
        </w:rPr>
        <w:t>ICS 21.060.01; 91.080.40</w:t>
      </w:r>
      <w:r w:rsidRPr="000035A3">
        <w:rPr>
          <w:kern w:val="0"/>
        </w:rPr>
        <w:tab/>
      </w:r>
    </w:p>
    <w:p w14:paraId="0CAD0DB7" w14:textId="7040B187" w:rsidR="001C0F56" w:rsidRPr="00813CDD" w:rsidRDefault="001C0F56" w:rsidP="001C0F56">
      <w:pPr>
        <w:pStyle w:val="NzNorCZ"/>
      </w:pPr>
      <w:r w:rsidRPr="00D97C8E">
        <w:t>Navrhování kotvení do betonu</w:t>
      </w:r>
      <w:r>
        <w:t xml:space="preserve"> – </w:t>
      </w:r>
      <w:r>
        <w:br/>
        <w:t>Část</w:t>
      </w:r>
      <w:r w:rsidR="003C1B09">
        <w:t> </w:t>
      </w:r>
      <w:r>
        <w:t>4-1: Obecně</w:t>
      </w:r>
    </w:p>
    <w:p w14:paraId="65F3ED56" w14:textId="5A31A152" w:rsidR="001C0F56" w:rsidRPr="00E0349E" w:rsidRDefault="001C0F56" w:rsidP="001C0F56">
      <w:pPr>
        <w:pStyle w:val="NzNorUS"/>
      </w:pPr>
      <w:r w:rsidRPr="00E0349E">
        <w:t>Design of fastenings for use in concrete</w:t>
      </w:r>
      <w:r>
        <w:t xml:space="preserve"> – </w:t>
      </w:r>
      <w:r>
        <w:br/>
      </w:r>
      <w:r w:rsidRPr="00E0349E">
        <w:t>Part</w:t>
      </w:r>
      <w:r w:rsidR="003C1B09">
        <w:t> </w:t>
      </w:r>
      <w:r w:rsidRPr="00E0349E">
        <w:t>4</w:t>
      </w:r>
      <w:r>
        <w:t>-</w:t>
      </w:r>
      <w:r w:rsidRPr="00E0349E">
        <w:t>1: General</w:t>
      </w:r>
    </w:p>
    <w:tbl>
      <w:tblPr>
        <w:tblW w:w="992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961"/>
        <w:gridCol w:w="4962"/>
      </w:tblGrid>
      <w:tr w:rsidR="001C0F56" w:rsidRPr="000035A3" w14:paraId="2474178A" w14:textId="77777777" w:rsidTr="009D5EAC">
        <w:trPr>
          <w:jc w:val="center"/>
        </w:trPr>
        <w:tc>
          <w:tcPr>
            <w:tcW w:w="4961" w:type="dxa"/>
          </w:tcPr>
          <w:p w14:paraId="59E4DD7F" w14:textId="44D0F531" w:rsidR="001C0F56" w:rsidRPr="00113257" w:rsidRDefault="001C0F56" w:rsidP="009D5EAC">
            <w:pPr>
              <w:pStyle w:val="NzNorFraGer"/>
              <w:ind w:right="140"/>
            </w:pPr>
            <w:r w:rsidRPr="00FE02BC">
              <w:rPr>
                <w:spacing w:val="-4"/>
              </w:rPr>
              <w:t>Conception-calcul des éléments de fixation pour béton</w:t>
            </w:r>
            <w:r>
              <w:rPr>
                <w:spacing w:val="-4"/>
              </w:rPr>
              <w:t xml:space="preserve"> – </w:t>
            </w:r>
            <w:r>
              <w:br/>
              <w:t>Partie</w:t>
            </w:r>
            <w:r w:rsidR="003C1B09">
              <w:t> </w:t>
            </w:r>
            <w:r>
              <w:t>4-1: Généralités</w:t>
            </w:r>
          </w:p>
        </w:tc>
        <w:tc>
          <w:tcPr>
            <w:tcW w:w="4961" w:type="dxa"/>
          </w:tcPr>
          <w:p w14:paraId="3C124880" w14:textId="0845542B" w:rsidR="001C0F56" w:rsidRPr="001E4BF1" w:rsidRDefault="001C0F56" w:rsidP="009D5EAC">
            <w:pPr>
              <w:pStyle w:val="NzNorFraGer"/>
            </w:pPr>
            <w:r>
              <w:t xml:space="preserve">Bemessung von Befestigungen in Beton – </w:t>
            </w:r>
            <w:r>
              <w:br/>
              <w:t>Teil</w:t>
            </w:r>
            <w:r w:rsidR="003C1B09">
              <w:t> </w:t>
            </w:r>
            <w:r>
              <w:t>4-1: Allgemeines</w:t>
            </w:r>
          </w:p>
        </w:tc>
      </w:tr>
    </w:tbl>
    <w:p w14:paraId="14B7D616" w14:textId="77777777" w:rsidR="001C0F56" w:rsidRPr="00FE02BC" w:rsidRDefault="001C0F56" w:rsidP="001C0F56">
      <w:pPr>
        <w:pStyle w:val="Textnormy"/>
      </w:pPr>
      <w:r w:rsidRPr="00FE02BC">
        <w:t>Tato technická specifikace (CEN/TS) byla schválena CEN dne 2008-10-20 pro dočasné používání.</w:t>
      </w:r>
    </w:p>
    <w:p w14:paraId="6B9CD25F" w14:textId="77777777" w:rsidR="001C0F56" w:rsidRPr="00FE02BC" w:rsidRDefault="001C0F56" w:rsidP="001C0F56">
      <w:pPr>
        <w:pStyle w:val="Textnormy"/>
      </w:pPr>
      <w:r w:rsidRPr="00710A52">
        <w:rPr>
          <w:spacing w:val="-4"/>
        </w:rPr>
        <w:t>Doba platnosti této CEN/TS je zatím omezena na tři roky. Po dvou letech budou členové CEN požádáni</w:t>
      </w:r>
      <w:r w:rsidRPr="00710A52">
        <w:rPr>
          <w:color w:val="FF0000"/>
          <w:spacing w:val="-4"/>
        </w:rPr>
        <w:t xml:space="preserve"> </w:t>
      </w:r>
      <w:r w:rsidRPr="00710A52">
        <w:rPr>
          <w:spacing w:val="-4"/>
        </w:rPr>
        <w:t>o připomínky</w:t>
      </w:r>
      <w:r w:rsidRPr="00FE02BC">
        <w:t xml:space="preserve"> týkající se zejména toho, zda může být CEN/TS převedena na evropskou normu.</w:t>
      </w:r>
    </w:p>
    <w:p w14:paraId="7A3F722E" w14:textId="77777777" w:rsidR="001C0F56" w:rsidRPr="00FE02BC" w:rsidRDefault="001C0F56" w:rsidP="001C0F56">
      <w:pPr>
        <w:pStyle w:val="Textnormy"/>
      </w:pPr>
      <w:r w:rsidRPr="00FE02BC">
        <w:t>Je třeba,</w:t>
      </w:r>
      <w:r w:rsidRPr="00FE02BC">
        <w:rPr>
          <w:color w:val="FF0000"/>
        </w:rPr>
        <w:t xml:space="preserve"> </w:t>
      </w:r>
      <w:r w:rsidRPr="00FE02BC">
        <w:t>aby členové CEN oznámili existenci této CEN/TS stejným způsobem, jako je tomu u</w:t>
      </w:r>
      <w:r>
        <w:t> </w:t>
      </w:r>
      <w:r w:rsidRPr="00FE02BC">
        <w:t>EN, a</w:t>
      </w:r>
      <w:r>
        <w:t> </w:t>
      </w:r>
      <w:r w:rsidRPr="00FE02BC">
        <w:t>vhodnou</w:t>
      </w:r>
      <w:r w:rsidRPr="00FE02BC">
        <w:rPr>
          <w:color w:val="FF0000"/>
        </w:rPr>
        <w:t xml:space="preserve"> </w:t>
      </w:r>
      <w:r w:rsidRPr="00FE02BC">
        <w:t>formou ji zpřístupnili na národní úrovni. Je přípustné ponechat konfliktní národní normy v</w:t>
      </w:r>
      <w:r>
        <w:t> </w:t>
      </w:r>
      <w:r w:rsidRPr="00FE02BC">
        <w:t>platnosti (souběžně s</w:t>
      </w:r>
      <w:r>
        <w:t> </w:t>
      </w:r>
      <w:r w:rsidRPr="00FE02BC">
        <w:t>CEN/TS), dokud se nedosáhne konečného rozhodnutí o</w:t>
      </w:r>
      <w:r>
        <w:t> </w:t>
      </w:r>
      <w:r w:rsidRPr="00FE02BC">
        <w:t>možnosti převedení této CEN/TS na EN.</w:t>
      </w:r>
    </w:p>
    <w:p w14:paraId="6F0C4FA9" w14:textId="77777777" w:rsidR="001C0F56" w:rsidRPr="00FE02BC" w:rsidRDefault="001838A5" w:rsidP="001C0F56">
      <w:pPr>
        <w:pStyle w:val="Textnormy"/>
      </w:pPr>
      <w:r w:rsidRPr="00AC0FA5">
        <w:t xml:space="preserve">Členy CEN jsou národní normalizační orgány Belgie, Bulharska, České republiky, Dánska, Estonska, Finska, Francie, Chorvatska, Irska, Islandu, Itálie, Kypru, Litvy, Lotyšska, Lucemburska, Maďarska, Malty, Německa, </w:t>
      </w:r>
      <w:r>
        <w:br/>
      </w:r>
      <w:r w:rsidRPr="00D7418E">
        <w:rPr>
          <w:spacing w:val="-3"/>
        </w:rPr>
        <w:t>Nizozemska, Norska, Polska, Portugalska, Rakouska, Republiky Severní Makedonie, Rumunska, Řecka, Slovenska</w:t>
      </w:r>
      <w:r w:rsidRPr="00AC0FA5">
        <w:t xml:space="preserve">, Slovinska, Spojeného království, </w:t>
      </w:r>
      <w:r>
        <w:t xml:space="preserve">Srbska, </w:t>
      </w:r>
      <w:r w:rsidRPr="00AC0FA5">
        <w:t>Španělska, Švédska, Švýcarska a Turecka.</w:t>
      </w:r>
    </w:p>
    <w:p w14:paraId="4658F776" w14:textId="77777777" w:rsidR="001C0F56" w:rsidRDefault="001C0F56" w:rsidP="001C0F56">
      <w:pPr>
        <w:pStyle w:val="Textnormy"/>
        <w:framePr w:hSpace="142" w:wrap="around" w:hAnchor="page" w:x="1022" w:yAlign="bottom"/>
        <w:spacing w:before="60" w:after="0"/>
        <w:jc w:val="center"/>
        <w:rPr>
          <w:b/>
          <w:sz w:val="24"/>
        </w:rPr>
      </w:pPr>
      <w:bookmarkStart w:id="0" w:name="_Toc423086825"/>
      <w:bookmarkStart w:id="1" w:name="_Toc423088164"/>
      <w:bookmarkStart w:id="2" w:name="_Toc423088575"/>
      <w:bookmarkStart w:id="3" w:name="_Toc423089002"/>
      <w:bookmarkStart w:id="4" w:name="_Toc423089308"/>
      <w:bookmarkStart w:id="5" w:name="_Toc424009197"/>
      <w:bookmarkStart w:id="6" w:name="_Toc424009716"/>
      <w:bookmarkStart w:id="7" w:name="_Toc425135649"/>
      <w:bookmarkStart w:id="8" w:name="_Toc425402635"/>
      <w:bookmarkStart w:id="9" w:name="_Toc425404798"/>
      <w:bookmarkStart w:id="10" w:name="_Toc425561062"/>
      <w:bookmarkStart w:id="11" w:name="_Toc425561776"/>
      <w:bookmarkStart w:id="12" w:name="_Toc425579082"/>
      <w:bookmarkStart w:id="13" w:name="_Toc425579285"/>
      <w:bookmarkStart w:id="14" w:name="_Toc431022219"/>
      <w:bookmarkStart w:id="15" w:name="_Toc431785292"/>
      <w:bookmarkStart w:id="16" w:name="_Toc359251362"/>
      <w:bookmarkStart w:id="17" w:name="_Toc359251520"/>
      <w:bookmarkStart w:id="18" w:name="_Toc359251680"/>
      <w:bookmarkStart w:id="19" w:name="_Toc359251937"/>
      <w:bookmarkStart w:id="20" w:name="_Toc359252126"/>
      <w:bookmarkStart w:id="21" w:name="_Toc359252241"/>
      <w:bookmarkStart w:id="22" w:name="_Toc359252484"/>
      <w:bookmarkStart w:id="23" w:name="_Toc359252724"/>
      <w:bookmarkStart w:id="24" w:name="_Toc359252845"/>
      <w:bookmarkStart w:id="25" w:name="_Toc359252919"/>
      <w:bookmarkStart w:id="26" w:name="_Toc359283645"/>
      <w:bookmarkStart w:id="27" w:name="_Toc365965545"/>
      <w:bookmarkStart w:id="28" w:name="_Toc365967312"/>
      <w:bookmarkStart w:id="29" w:name="_Toc365968759"/>
      <w:bookmarkStart w:id="30" w:name="_Toc367082924"/>
      <w:bookmarkStart w:id="31" w:name="_Toc372429539"/>
      <w:bookmarkStart w:id="32" w:name="_Toc375302773"/>
      <w:bookmarkStart w:id="33" w:name="_Toc379098930"/>
      <w:bookmarkStart w:id="34" w:name="_Toc380735103"/>
      <w:bookmarkStart w:id="35" w:name="_Toc380735203"/>
      <w:bookmarkStart w:id="36" w:name="_Toc380825387"/>
      <w:bookmarkStart w:id="37" w:name="_Toc380827276"/>
      <w:bookmarkStart w:id="38" w:name="_Toc380886222"/>
      <w:bookmarkStart w:id="39" w:name="_Toc380886260"/>
      <w:bookmarkStart w:id="40" w:name="_Toc380886467"/>
      <w:bookmarkStart w:id="41" w:name="_Toc459535865"/>
      <w:r>
        <w:t xml:space="preserve"> </w:t>
      </w:r>
      <w:r w:rsidRPr="00AA7CB9">
        <w:rPr>
          <w:noProof/>
        </w:rPr>
        <w:drawing>
          <wp:inline distT="0" distB="0" distL="0" distR="0" wp14:anchorId="72159940" wp14:editId="41A52A81">
            <wp:extent cx="1013460" cy="807720"/>
            <wp:effectExtent l="0" t="0" r="0" b="0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4" t="4073" r="3304" b="40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3460" cy="80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 w14:paraId="5E1A4773" w14:textId="77777777" w:rsidR="001C0F56" w:rsidRDefault="001C0F56" w:rsidP="001C0F56">
      <w:pPr>
        <w:pStyle w:val="Textnormy"/>
        <w:framePr w:hSpace="142" w:wrap="around" w:hAnchor="page" w:x="1022" w:yAlign="bottom"/>
        <w:spacing w:before="60" w:after="0"/>
        <w:jc w:val="center"/>
        <w:rPr>
          <w:b/>
        </w:rPr>
      </w:pPr>
      <w:r>
        <w:rPr>
          <w:b/>
        </w:rPr>
        <w:t>Evropský výbor pro normalizaci</w:t>
      </w:r>
    </w:p>
    <w:p w14:paraId="313401F6" w14:textId="77777777" w:rsidR="001C0F56" w:rsidRDefault="001C0F56" w:rsidP="001C0F56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European Committee for Standardization</w:t>
      </w:r>
    </w:p>
    <w:p w14:paraId="333C0585" w14:textId="77777777" w:rsidR="001C0F56" w:rsidRDefault="001C0F56" w:rsidP="001C0F56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Comité Européen de Normalisation</w:t>
      </w:r>
    </w:p>
    <w:p w14:paraId="20ACA047" w14:textId="77777777" w:rsidR="001C0F56" w:rsidRDefault="001C0F56" w:rsidP="001C0F56">
      <w:pPr>
        <w:pStyle w:val="Textnormy"/>
        <w:framePr w:hSpace="142" w:wrap="around" w:hAnchor="page" w:x="1022" w:yAlign="bottom"/>
        <w:spacing w:before="60" w:after="0"/>
        <w:jc w:val="center"/>
        <w:rPr>
          <w:b/>
          <w:noProof/>
        </w:rPr>
      </w:pPr>
      <w:r>
        <w:rPr>
          <w:b/>
          <w:noProof/>
        </w:rPr>
        <w:t>Europäisches Komitee für Normung</w:t>
      </w:r>
    </w:p>
    <w:p w14:paraId="198D78EB" w14:textId="77777777" w:rsidR="001C0F56" w:rsidRDefault="001C0F56" w:rsidP="001C0F56">
      <w:pPr>
        <w:pStyle w:val="Textnormy"/>
        <w:framePr w:hSpace="142" w:wrap="around" w:hAnchor="page" w:x="1022" w:yAlign="bottom"/>
        <w:spacing w:before="120" w:after="240"/>
        <w:jc w:val="center"/>
        <w:rPr>
          <w:b/>
        </w:rPr>
      </w:pPr>
      <w:r>
        <w:rPr>
          <w:b/>
        </w:rPr>
        <w:t xml:space="preserve">Řídicí centrum CEN-CENELEC: </w:t>
      </w:r>
      <w:r w:rsidR="00A2103F" w:rsidRPr="00F26445">
        <w:rPr>
          <w:rFonts w:cs="Arial"/>
          <w:b/>
          <w:color w:val="000000"/>
        </w:rPr>
        <w:t>Rue de la Science 23, B-1040 Brusel</w:t>
      </w:r>
    </w:p>
    <w:p w14:paraId="6364A0E4" w14:textId="77777777" w:rsidR="001C0F56" w:rsidRDefault="001C0F56" w:rsidP="001C0F56">
      <w:pPr>
        <w:pStyle w:val="Poznmka"/>
        <w:framePr w:hSpace="142" w:wrap="around" w:hAnchor="page" w:x="1022" w:yAlign="bottom"/>
        <w:pBdr>
          <w:top w:val="single" w:sz="6" w:space="6" w:color="auto"/>
        </w:pBdr>
        <w:tabs>
          <w:tab w:val="right" w:pos="9923"/>
        </w:tabs>
        <w:spacing w:before="0" w:after="120"/>
        <w:ind w:left="1418" w:hanging="1418"/>
        <w:rPr>
          <w:b/>
        </w:rPr>
      </w:pPr>
      <w:r>
        <w:sym w:font="Times New Roman" w:char="00A9"/>
      </w:r>
      <w:r>
        <w:t xml:space="preserve"> 2009 CEN</w:t>
      </w:r>
      <w:r>
        <w:tab/>
        <w:t>Veškerá práva pro využití v jakékoli</w:t>
      </w:r>
      <w:r w:rsidR="00A2103F">
        <w:t>v</w:t>
      </w:r>
      <w:r>
        <w:t xml:space="preserve"> formě a jakýmikoli</w:t>
      </w:r>
      <w:r w:rsidR="00A2103F">
        <w:t>v</w:t>
      </w:r>
      <w:r>
        <w:t xml:space="preserve"> prostředky </w:t>
      </w:r>
      <w:r>
        <w:tab/>
        <w:t>Ref. č. CEN/TS 1992-4-1:2009 E</w:t>
      </w:r>
      <w:r>
        <w:br/>
        <w:t>jsou celosvětově vyhrazena národním členům CEN.</w:t>
      </w:r>
    </w:p>
    <w:p w14:paraId="267D3CA5" w14:textId="77777777" w:rsidR="001C0F56" w:rsidRPr="000035A3" w:rsidRDefault="001C0F56" w:rsidP="001C0F56">
      <w:pPr>
        <w:pStyle w:val="Textnormy"/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2D8C5C69" w14:textId="77777777" w:rsidR="001C0F56" w:rsidRDefault="001C0F56" w:rsidP="001C0F56">
      <w:pPr>
        <w:pStyle w:val="Nadpiskapitoly"/>
        <w:pageBreakBefore/>
        <w:spacing w:before="0"/>
      </w:pPr>
      <w:r w:rsidRPr="000035A3">
        <w:lastRenderedPageBreak/>
        <w:t>Obsah</w:t>
      </w:r>
    </w:p>
    <w:p w14:paraId="7CC1F325" w14:textId="77777777" w:rsidR="001C0F56" w:rsidRPr="00FE52C8" w:rsidRDefault="001C0F56" w:rsidP="001C0F56">
      <w:pPr>
        <w:pStyle w:val="Obsah3"/>
        <w:ind w:left="709" w:hanging="709"/>
        <w:jc w:val="right"/>
      </w:pPr>
      <w:r w:rsidRPr="00FE52C8">
        <w:t>Strana</w:t>
      </w:r>
    </w:p>
    <w:p w14:paraId="3799CBD3" w14:textId="3B767322" w:rsidR="001C0F56" w:rsidRPr="00FE02BC" w:rsidRDefault="001C0F56" w:rsidP="001C0F56">
      <w:pPr>
        <w:pStyle w:val="Obsah1"/>
        <w:rPr>
          <w:rFonts w:cs="Arial"/>
          <w:szCs w:val="18"/>
        </w:rPr>
      </w:pPr>
      <w:r>
        <w:rPr>
          <w:rFonts w:cs="Arial"/>
          <w:szCs w:val="18"/>
        </w:rPr>
        <w:t>Evropská p</w:t>
      </w:r>
      <w:r w:rsidRPr="00FE02BC">
        <w:rPr>
          <w:rFonts w:cs="Arial"/>
          <w:szCs w:val="18"/>
        </w:rPr>
        <w:fldChar w:fldCharType="begin"/>
      </w:r>
      <w:r w:rsidRPr="00FE02BC">
        <w:rPr>
          <w:rFonts w:cs="Arial"/>
          <w:szCs w:val="18"/>
        </w:rPr>
        <w:instrText xml:space="preserve"> TOC \o "1-3" </w:instrText>
      </w:r>
      <w:r w:rsidRPr="00FE02BC">
        <w:rPr>
          <w:rFonts w:cs="Arial"/>
          <w:szCs w:val="18"/>
        </w:rPr>
        <w:fldChar w:fldCharType="separate"/>
      </w:r>
      <w:r w:rsidRPr="00FE02BC">
        <w:rPr>
          <w:rFonts w:cs="Arial"/>
          <w:szCs w:val="18"/>
        </w:rPr>
        <w:t>ředmluva</w:t>
      </w:r>
      <w:r w:rsidRPr="00FE02BC">
        <w:rPr>
          <w:rFonts w:cs="Arial"/>
          <w:szCs w:val="18"/>
        </w:rPr>
        <w:tab/>
      </w:r>
      <w:r w:rsidRPr="00FE02BC">
        <w:rPr>
          <w:rFonts w:cs="Arial"/>
          <w:szCs w:val="18"/>
        </w:rPr>
        <w:fldChar w:fldCharType="begin"/>
      </w:r>
      <w:r w:rsidRPr="00FE02BC">
        <w:rPr>
          <w:rFonts w:cs="Arial"/>
          <w:szCs w:val="18"/>
        </w:rPr>
        <w:instrText xml:space="preserve"> PAGEREF _Toc269481517 \h </w:instrText>
      </w:r>
      <w:r w:rsidRPr="00FE02BC">
        <w:rPr>
          <w:rFonts w:cs="Arial"/>
          <w:szCs w:val="18"/>
        </w:rPr>
      </w:r>
      <w:r w:rsidRPr="00FE02BC">
        <w:rPr>
          <w:rFonts w:cs="Arial"/>
          <w:szCs w:val="18"/>
        </w:rPr>
        <w:fldChar w:fldCharType="separate"/>
      </w:r>
      <w:r w:rsidR="00BE31FF">
        <w:rPr>
          <w:rFonts w:cs="Arial"/>
          <w:szCs w:val="18"/>
        </w:rPr>
        <w:t>7</w:t>
      </w:r>
      <w:r w:rsidRPr="00FE02BC">
        <w:rPr>
          <w:rFonts w:cs="Arial"/>
          <w:szCs w:val="18"/>
        </w:rPr>
        <w:fldChar w:fldCharType="end"/>
      </w:r>
    </w:p>
    <w:p w14:paraId="222D4162" w14:textId="0B2FD5AF" w:rsidR="001C0F56" w:rsidRPr="00FE02BC" w:rsidRDefault="001C0F56" w:rsidP="001C0F56">
      <w:pPr>
        <w:pStyle w:val="Obsah1"/>
        <w:rPr>
          <w:rFonts w:cs="Arial"/>
          <w:szCs w:val="18"/>
        </w:rPr>
      </w:pPr>
      <w:r w:rsidRPr="00FE02BC">
        <w:rPr>
          <w:rFonts w:cs="Arial"/>
          <w:b/>
          <w:szCs w:val="18"/>
        </w:rPr>
        <w:t>1</w:t>
      </w:r>
      <w:r w:rsidRPr="00FE02BC">
        <w:rPr>
          <w:rFonts w:cs="Arial"/>
          <w:szCs w:val="18"/>
        </w:rPr>
        <w:tab/>
        <w:t>Předmět normy</w:t>
      </w:r>
      <w:r w:rsidRPr="00FE02BC">
        <w:rPr>
          <w:rFonts w:cs="Arial"/>
          <w:szCs w:val="18"/>
        </w:rPr>
        <w:tab/>
      </w:r>
      <w:r w:rsidRPr="00FE02BC">
        <w:rPr>
          <w:rFonts w:cs="Arial"/>
          <w:szCs w:val="18"/>
        </w:rPr>
        <w:fldChar w:fldCharType="begin"/>
      </w:r>
      <w:r w:rsidRPr="00FE02BC">
        <w:rPr>
          <w:rFonts w:cs="Arial"/>
          <w:szCs w:val="18"/>
        </w:rPr>
        <w:instrText xml:space="preserve"> PAGEREF _Toc269481518 \h </w:instrText>
      </w:r>
      <w:r w:rsidRPr="00FE02BC">
        <w:rPr>
          <w:rFonts w:cs="Arial"/>
          <w:szCs w:val="18"/>
        </w:rPr>
      </w:r>
      <w:r w:rsidRPr="00FE02BC">
        <w:rPr>
          <w:rFonts w:cs="Arial"/>
          <w:szCs w:val="18"/>
        </w:rPr>
        <w:fldChar w:fldCharType="separate"/>
      </w:r>
      <w:r w:rsidR="00BE31FF">
        <w:rPr>
          <w:rFonts w:cs="Arial"/>
          <w:szCs w:val="18"/>
        </w:rPr>
        <w:t>8</w:t>
      </w:r>
      <w:r w:rsidRPr="00FE02BC">
        <w:rPr>
          <w:rFonts w:cs="Arial"/>
          <w:szCs w:val="18"/>
        </w:rPr>
        <w:fldChar w:fldCharType="end"/>
      </w:r>
    </w:p>
    <w:p w14:paraId="3D321D60" w14:textId="415E6F58" w:rsidR="001C0F56" w:rsidRPr="00FE02BC" w:rsidRDefault="001C0F56" w:rsidP="001C0F56">
      <w:pPr>
        <w:pStyle w:val="Obsah2"/>
        <w:rPr>
          <w:rFonts w:cs="Arial"/>
          <w:szCs w:val="18"/>
        </w:rPr>
      </w:pPr>
      <w:r w:rsidRPr="00FE02BC">
        <w:rPr>
          <w:rFonts w:cs="Arial"/>
          <w:b/>
          <w:szCs w:val="18"/>
        </w:rPr>
        <w:t>1.1</w:t>
      </w:r>
      <w:r w:rsidRPr="00FE02BC">
        <w:rPr>
          <w:rFonts w:cs="Arial"/>
          <w:szCs w:val="18"/>
        </w:rPr>
        <w:tab/>
        <w:t>Obecně</w:t>
      </w:r>
      <w:r w:rsidRPr="00FE02BC">
        <w:rPr>
          <w:rFonts w:cs="Arial"/>
          <w:szCs w:val="18"/>
        </w:rPr>
        <w:tab/>
      </w:r>
      <w:r w:rsidRPr="00FE02BC">
        <w:rPr>
          <w:rFonts w:cs="Arial"/>
          <w:szCs w:val="18"/>
        </w:rPr>
        <w:fldChar w:fldCharType="begin"/>
      </w:r>
      <w:r w:rsidRPr="00FE02BC">
        <w:rPr>
          <w:rFonts w:cs="Arial"/>
          <w:szCs w:val="18"/>
        </w:rPr>
        <w:instrText xml:space="preserve"> PAGEREF _Toc269481519 \h </w:instrText>
      </w:r>
      <w:r w:rsidRPr="00FE02BC">
        <w:rPr>
          <w:rFonts w:cs="Arial"/>
          <w:szCs w:val="18"/>
        </w:rPr>
      </w:r>
      <w:r w:rsidRPr="00FE02BC">
        <w:rPr>
          <w:rFonts w:cs="Arial"/>
          <w:szCs w:val="18"/>
        </w:rPr>
        <w:fldChar w:fldCharType="separate"/>
      </w:r>
      <w:r w:rsidR="00BE31FF">
        <w:rPr>
          <w:rFonts w:cs="Arial"/>
          <w:szCs w:val="18"/>
        </w:rPr>
        <w:t>8</w:t>
      </w:r>
      <w:r w:rsidRPr="00FE02BC">
        <w:rPr>
          <w:rFonts w:cs="Arial"/>
          <w:szCs w:val="18"/>
        </w:rPr>
        <w:fldChar w:fldCharType="end"/>
      </w:r>
    </w:p>
    <w:p w14:paraId="469DBE5F" w14:textId="77777777" w:rsidR="001C0F56" w:rsidRPr="00FE02BC" w:rsidRDefault="001C0F56" w:rsidP="001C0F56">
      <w:pPr>
        <w:pStyle w:val="Obsah2"/>
        <w:rPr>
          <w:rFonts w:cs="Arial"/>
          <w:szCs w:val="18"/>
        </w:rPr>
      </w:pPr>
      <w:r w:rsidRPr="00FE02BC">
        <w:rPr>
          <w:rFonts w:cs="Arial"/>
          <w:b/>
          <w:szCs w:val="18"/>
        </w:rPr>
        <w:t>1.2</w:t>
      </w:r>
      <w:r w:rsidRPr="00FE02BC">
        <w:rPr>
          <w:rFonts w:cs="Arial"/>
          <w:szCs w:val="18"/>
        </w:rPr>
        <w:tab/>
        <w:t>Typ kotev a skupin kotev</w:t>
      </w:r>
      <w:r w:rsidRPr="00FE02BC">
        <w:rPr>
          <w:rFonts w:cs="Arial"/>
          <w:szCs w:val="18"/>
        </w:rPr>
        <w:tab/>
        <w:t>9</w:t>
      </w:r>
    </w:p>
    <w:p w14:paraId="2C9D1BD4" w14:textId="77777777" w:rsidR="001C0F56" w:rsidRPr="00FE02BC" w:rsidRDefault="001C0F56" w:rsidP="001C0F56">
      <w:pPr>
        <w:pStyle w:val="Obsah1"/>
        <w:rPr>
          <w:rFonts w:cs="Arial"/>
          <w:szCs w:val="18"/>
        </w:rPr>
      </w:pPr>
    </w:p>
    <w:p w14:paraId="22415B46" w14:textId="77777777" w:rsidR="001C0F56" w:rsidRPr="00E6317C" w:rsidRDefault="001C0F56" w:rsidP="001C0F56">
      <w:pPr>
        <w:pStyle w:val="Nadpis1"/>
        <w:pageBreakBefore/>
        <w:spacing w:before="0"/>
      </w:pPr>
      <w:r w:rsidRPr="00FE02BC">
        <w:rPr>
          <w:rFonts w:cs="Arial"/>
          <w:sz w:val="18"/>
          <w:szCs w:val="18"/>
        </w:rPr>
        <w:lastRenderedPageBreak/>
        <w:fldChar w:fldCharType="end"/>
      </w:r>
      <w:bookmarkStart w:id="42" w:name="_Toc269481517"/>
      <w:bookmarkStart w:id="43" w:name="_Toc359251363"/>
      <w:bookmarkStart w:id="44" w:name="_Toc359251521"/>
      <w:bookmarkStart w:id="45" w:name="_Toc359251681"/>
      <w:bookmarkStart w:id="46" w:name="_Toc359251938"/>
      <w:bookmarkStart w:id="47" w:name="_Toc359252127"/>
      <w:bookmarkStart w:id="48" w:name="_Toc359252242"/>
      <w:bookmarkStart w:id="49" w:name="_Toc359252485"/>
      <w:bookmarkStart w:id="50" w:name="_Toc359252725"/>
      <w:bookmarkStart w:id="51" w:name="_Toc359252846"/>
      <w:bookmarkStart w:id="52" w:name="_Toc359252920"/>
      <w:bookmarkStart w:id="53" w:name="_Toc359283646"/>
      <w:bookmarkStart w:id="54" w:name="_Toc365965546"/>
      <w:bookmarkStart w:id="55" w:name="_Toc365967313"/>
      <w:bookmarkStart w:id="56" w:name="_Toc365968760"/>
      <w:bookmarkStart w:id="57" w:name="_Toc367082925"/>
      <w:bookmarkStart w:id="58" w:name="_Toc372429540"/>
      <w:bookmarkStart w:id="59" w:name="_Toc375302774"/>
      <w:bookmarkStart w:id="60" w:name="_Toc379098931"/>
      <w:bookmarkStart w:id="61" w:name="_Toc380735104"/>
      <w:bookmarkStart w:id="62" w:name="_Toc380735204"/>
      <w:bookmarkStart w:id="63" w:name="_Toc380825388"/>
      <w:bookmarkStart w:id="64" w:name="_Toc380827277"/>
      <w:bookmarkStart w:id="65" w:name="_Toc380886223"/>
      <w:bookmarkStart w:id="66" w:name="_Toc380886261"/>
      <w:bookmarkStart w:id="67" w:name="_Toc380886371"/>
      <w:bookmarkStart w:id="68" w:name="_Toc380886468"/>
      <w:bookmarkStart w:id="69" w:name="_Toc4487159"/>
      <w:bookmarkStart w:id="70" w:name="_Toc4487251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r>
        <w:t>Evropská p</w:t>
      </w:r>
      <w:r w:rsidRPr="00E6317C">
        <w:t>ředmluva</w:t>
      </w:r>
      <w:bookmarkEnd w:id="42"/>
    </w:p>
    <w:p w14:paraId="40575C4E" w14:textId="77777777" w:rsidR="001C0F56" w:rsidRPr="00A2103F" w:rsidRDefault="001C0F56" w:rsidP="001C0F56">
      <w:pPr>
        <w:pStyle w:val="Textnormy"/>
      </w:pPr>
      <w:r w:rsidRPr="00A2103F">
        <w:t xml:space="preserve">Tento dokument (CEN/TS 1992-4-1:2009) vypracovala technická komise CEN/TC 250 </w:t>
      </w:r>
      <w:r w:rsidRPr="00A2103F">
        <w:rPr>
          <w:i/>
        </w:rPr>
        <w:t>Eurokódy pro stavební konstrukce</w:t>
      </w:r>
      <w:r w:rsidRPr="00A2103F">
        <w:t>, jejíž sekretariát zajišťuje BSI.</w:t>
      </w:r>
    </w:p>
    <w:p w14:paraId="727CE7F0" w14:textId="77777777" w:rsidR="001C0F56" w:rsidRPr="00A2103F" w:rsidRDefault="001C0F56" w:rsidP="001C0F56">
      <w:pPr>
        <w:pStyle w:val="Textnormy"/>
        <w:spacing w:after="100"/>
      </w:pPr>
      <w:r w:rsidRPr="00A2103F">
        <w:t>Upozorňuje se na možnost, že některé prvky tohoto dokumentu mohou být předmětem patentových práv. CEN nelze činit odpovědným za identifikaci jakéhokoliv nebo všech patentových práv.</w:t>
      </w:r>
    </w:p>
    <w:p w14:paraId="3CDAC698" w14:textId="225D711A" w:rsidR="001C0F56" w:rsidRPr="00A2103F" w:rsidRDefault="001C0F56" w:rsidP="001C0F56">
      <w:pPr>
        <w:pStyle w:val="Textnormy"/>
      </w:pPr>
      <w:r w:rsidRPr="00A2103F">
        <w:t>Tato technická specifikace CEN/TS</w:t>
      </w:r>
      <w:r w:rsidR="003C1B09">
        <w:t> </w:t>
      </w:r>
      <w:r w:rsidRPr="00A2103F">
        <w:t xml:space="preserve">1992-4-1 uvádí obecné zásady a požadavky na bezpečnost, použitelnost a trvanlivost kotev do betonu, společně se zvláštními požadavky na materiál konstrukce, do které se kotví. </w:t>
      </w:r>
      <w:r w:rsidR="00A2103F">
        <w:br/>
      </w:r>
      <w:r w:rsidRPr="00A2103F">
        <w:t>Vychází z koncepce mezních stavů ve spojení s metodou dílčích součinitelů.</w:t>
      </w:r>
    </w:p>
    <w:p w14:paraId="300177FB" w14:textId="77777777" w:rsidR="001C0F56" w:rsidRPr="00A2103F" w:rsidRDefault="001C0F56" w:rsidP="001C0F56">
      <w:pPr>
        <w:pStyle w:val="Textnormy"/>
      </w:pPr>
      <w:r w:rsidRPr="00A2103F">
        <w:t>Číselné hodnoty dílčích součinitelů a jiných parametrů spolehlivosti jsou doporučenými hodnotami a mohou být v případě potřeby změněny v národní příloze. Doporučené hodnoty platí, pokud:</w:t>
      </w:r>
    </w:p>
    <w:p w14:paraId="4364ABF4" w14:textId="77777777" w:rsidR="001C0F56" w:rsidRPr="00A2103F" w:rsidRDefault="001C0F56" w:rsidP="001C0F56">
      <w:pPr>
        <w:pStyle w:val="Textnormy"/>
        <w:ind w:left="284" w:hanging="284"/>
      </w:pPr>
      <w:r w:rsidRPr="00A2103F">
        <w:t>a)</w:t>
      </w:r>
      <w:r w:rsidRPr="00A2103F">
        <w:tab/>
        <w:t>kotvy vyhovují požadavkům 1.2.2 a</w:t>
      </w:r>
    </w:p>
    <w:p w14:paraId="08258C55" w14:textId="77777777" w:rsidR="001C0F56" w:rsidRPr="00A2103F" w:rsidRDefault="001C0F56" w:rsidP="001C0F56">
      <w:pPr>
        <w:pStyle w:val="Textnormy"/>
        <w:ind w:left="284" w:hanging="284"/>
      </w:pPr>
      <w:r w:rsidRPr="00A2103F">
        <w:t>b)</w:t>
      </w:r>
      <w:r w:rsidRPr="00A2103F">
        <w:tab/>
        <w:t>montáž vyhovuje požadavkům 4.5.</w:t>
      </w:r>
    </w:p>
    <w:p w14:paraId="23854071" w14:textId="77777777" w:rsidR="001C0F56" w:rsidRPr="00A2103F" w:rsidRDefault="001C0F56" w:rsidP="001C0F56">
      <w:pPr>
        <w:pStyle w:val="Textnormy"/>
      </w:pPr>
      <w:r w:rsidRPr="00A2103F">
        <w:t xml:space="preserve">CEN/TS 1992-4 se společným názvem </w:t>
      </w:r>
      <w:r w:rsidRPr="00A2103F">
        <w:rPr>
          <w:i/>
        </w:rPr>
        <w:t>Navrhování kotvení do betonu</w:t>
      </w:r>
      <w:r w:rsidRPr="00A2103F">
        <w:t xml:space="preserve"> sestává z těchto částí:</w:t>
      </w:r>
    </w:p>
    <w:p w14:paraId="4A06054B" w14:textId="2E445864" w:rsidR="001C0F56" w:rsidRPr="00A2103F" w:rsidRDefault="001C0F56" w:rsidP="001C0F56">
      <w:pPr>
        <w:pStyle w:val="Seznamvnorm"/>
        <w:rPr>
          <w:i/>
        </w:rPr>
      </w:pPr>
      <w:r w:rsidRPr="00A2103F">
        <w:rPr>
          <w:i/>
        </w:rPr>
        <w:t>Část</w:t>
      </w:r>
      <w:r w:rsidR="003C1B09">
        <w:rPr>
          <w:i/>
        </w:rPr>
        <w:t> </w:t>
      </w:r>
      <w:r w:rsidRPr="00A2103F">
        <w:rPr>
          <w:i/>
        </w:rPr>
        <w:t>1: Obecně</w:t>
      </w:r>
    </w:p>
    <w:p w14:paraId="6405EAB5" w14:textId="02B845C9" w:rsidR="001C0F56" w:rsidRPr="00A2103F" w:rsidRDefault="001C0F56" w:rsidP="001C0F56">
      <w:pPr>
        <w:pStyle w:val="Seznamvnorm"/>
        <w:rPr>
          <w:i/>
        </w:rPr>
      </w:pPr>
      <w:r w:rsidRPr="00A2103F">
        <w:rPr>
          <w:i/>
        </w:rPr>
        <w:t>Část</w:t>
      </w:r>
      <w:r w:rsidR="003C1B09">
        <w:rPr>
          <w:i/>
        </w:rPr>
        <w:t> </w:t>
      </w:r>
      <w:r w:rsidRPr="00A2103F">
        <w:rPr>
          <w:i/>
        </w:rPr>
        <w:t xml:space="preserve">2: Kotvy s hlavou </w:t>
      </w:r>
    </w:p>
    <w:p w14:paraId="520A0123" w14:textId="7D2314B0" w:rsidR="001C0F56" w:rsidRPr="00A2103F" w:rsidRDefault="001C0F56" w:rsidP="001C0F56">
      <w:pPr>
        <w:pStyle w:val="Seznamvnorm"/>
        <w:rPr>
          <w:i/>
        </w:rPr>
      </w:pPr>
      <w:r w:rsidRPr="00A2103F">
        <w:rPr>
          <w:i/>
        </w:rPr>
        <w:t>Část</w:t>
      </w:r>
      <w:r w:rsidR="003C1B09">
        <w:rPr>
          <w:i/>
        </w:rPr>
        <w:t> </w:t>
      </w:r>
      <w:r w:rsidRPr="00A2103F">
        <w:rPr>
          <w:i/>
        </w:rPr>
        <w:t>3: Upevňovací lišty</w:t>
      </w:r>
    </w:p>
    <w:p w14:paraId="64DA7E52" w14:textId="61DAD73D" w:rsidR="001C0F56" w:rsidRPr="00A2103F" w:rsidRDefault="001C0F56" w:rsidP="001C0F56">
      <w:pPr>
        <w:pStyle w:val="Seznamvnorm"/>
        <w:rPr>
          <w:i/>
        </w:rPr>
      </w:pPr>
      <w:r w:rsidRPr="00A2103F">
        <w:rPr>
          <w:i/>
        </w:rPr>
        <w:t>Část</w:t>
      </w:r>
      <w:r w:rsidR="003C1B09">
        <w:rPr>
          <w:i/>
        </w:rPr>
        <w:t> </w:t>
      </w:r>
      <w:r w:rsidRPr="00A2103F">
        <w:rPr>
          <w:i/>
        </w:rPr>
        <w:t>4: Dodatečně osazované kotvy – Mechanické systémy</w:t>
      </w:r>
    </w:p>
    <w:p w14:paraId="2D2CEB21" w14:textId="0711E6BB" w:rsidR="001C0F56" w:rsidRPr="00A2103F" w:rsidRDefault="001C0F56" w:rsidP="001C0F56">
      <w:pPr>
        <w:pStyle w:val="Seznamvnorm"/>
        <w:rPr>
          <w:i/>
        </w:rPr>
      </w:pPr>
      <w:r w:rsidRPr="00A2103F">
        <w:rPr>
          <w:i/>
        </w:rPr>
        <w:t>Část</w:t>
      </w:r>
      <w:r w:rsidR="003C1B09">
        <w:rPr>
          <w:i/>
        </w:rPr>
        <w:t> </w:t>
      </w:r>
      <w:r w:rsidRPr="00A2103F">
        <w:rPr>
          <w:i/>
        </w:rPr>
        <w:t>5: Dodatečně osazované kotvy – Chemické systémy</w:t>
      </w:r>
    </w:p>
    <w:p w14:paraId="2F451493" w14:textId="3749126A" w:rsidR="001C0F56" w:rsidRDefault="001C0F56" w:rsidP="001C0F56">
      <w:pPr>
        <w:pStyle w:val="Textnormy"/>
      </w:pPr>
      <w:r w:rsidRPr="00A2103F">
        <w:t>Část</w:t>
      </w:r>
      <w:r w:rsidR="003C1B09">
        <w:t> </w:t>
      </w:r>
      <w:r w:rsidRPr="00A2103F">
        <w:t>1</w:t>
      </w:r>
      <w:r w:rsidR="003C1B09">
        <w:t xml:space="preserve"> </w:t>
      </w:r>
      <w:r w:rsidRPr="00A2103F">
        <w:t>platí pro všechny výrobky. Zvláštní pravidla platná pro příslušné výrobky jsou uvedena v částech 2 až 5 souboru CEN/TS</w:t>
      </w:r>
      <w:r w:rsidR="003C1B09">
        <w:t> </w:t>
      </w:r>
      <w:r w:rsidRPr="00A2103F">
        <w:t>1992-4. Tyto části se mají používat pouze spolu s částí 1.</w:t>
      </w:r>
    </w:p>
    <w:p w14:paraId="0FE22B03" w14:textId="7298CFD4" w:rsidR="007C4A20" w:rsidRPr="007C4A20" w:rsidRDefault="007C4A20" w:rsidP="001C0F56">
      <w:pPr>
        <w:pStyle w:val="Textnormy"/>
      </w:pPr>
      <w:r w:rsidRPr="007C4A20">
        <w:rPr>
          <w:rFonts w:cs="Arial"/>
          <w:color w:val="000000"/>
        </w:rPr>
        <w:t>Jakákoli zpětná vazba a otázky týkající se tohoto dokumentu mají být adresovány národnímu normalizačnímu orgánu uživatele. Úplný seznam těchto orgánů lze nalézt na webových stránkách CEN.</w:t>
      </w:r>
    </w:p>
    <w:p w14:paraId="08331F1A" w14:textId="30C48AC8" w:rsidR="001C0F56" w:rsidRPr="00A2103F" w:rsidRDefault="001838A5" w:rsidP="001C0F56">
      <w:pPr>
        <w:pStyle w:val="Textnormy"/>
        <w:suppressAutoHyphens/>
        <w:rPr>
          <w:rFonts w:cs="Arial"/>
        </w:rPr>
      </w:pPr>
      <w:r w:rsidRPr="00FD29E2">
        <w:t xml:space="preserve">Podle vnitřních předpisů CEN-CENELEC jsou tuto </w:t>
      </w:r>
      <w:r w:rsidR="00407AA3">
        <w:t>technickou specifikaci</w:t>
      </w:r>
      <w:r w:rsidRPr="00FD29E2">
        <w:t xml:space="preserve"> povinny </w:t>
      </w:r>
      <w:r w:rsidR="007C4A20">
        <w:t>oznámit</w:t>
      </w:r>
      <w:r w:rsidR="007C4A20" w:rsidRPr="00FD29E2">
        <w:t xml:space="preserve"> </w:t>
      </w:r>
      <w:r w:rsidRPr="00FD29E2">
        <w:t xml:space="preserve">národní normalizační organizace následujících zemí: Belgie, Bulharska, České republiky, Dánska, Estonska, Finska, Francie, Chorvatska, Irska, Islandu, Itálie, Kypru, Litvy, Lotyšska, Lucemburska, Maďarska, Malty, Německa, Nizozemska, Norska, Polska, Portugalska, Rakouska, </w:t>
      </w:r>
      <w:r>
        <w:t xml:space="preserve">Republiky Severní Makedonie, </w:t>
      </w:r>
      <w:r w:rsidRPr="00FD29E2">
        <w:t xml:space="preserve">Rumunska, Řecka, Slovenska, Slovinska, Spojeného království, </w:t>
      </w:r>
      <w:r>
        <w:t xml:space="preserve">Srbska, </w:t>
      </w:r>
      <w:r w:rsidRPr="00FD29E2">
        <w:t>Španělska, Švédska, Švýcarska a Turecka.</w:t>
      </w:r>
    </w:p>
    <w:p w14:paraId="2C3CD7CD" w14:textId="7E97B2F8" w:rsidR="001C0F56" w:rsidRPr="00A2103F" w:rsidRDefault="001C0F56" w:rsidP="001C0F56">
      <w:pPr>
        <w:pStyle w:val="Nadpislnku"/>
      </w:pPr>
      <w:r w:rsidRPr="00A2103F">
        <w:t>Národní příloha k CEN/TS</w:t>
      </w:r>
      <w:r w:rsidR="003C1B09">
        <w:t> </w:t>
      </w:r>
      <w:r w:rsidRPr="00A2103F">
        <w:t>1992-4-1</w:t>
      </w:r>
    </w:p>
    <w:p w14:paraId="352FA585" w14:textId="77777777" w:rsidR="001C0F56" w:rsidRPr="00A2103F" w:rsidRDefault="001C0F56" w:rsidP="001C0F56">
      <w:pPr>
        <w:pStyle w:val="Textnormy"/>
        <w:suppressAutoHyphens/>
        <w:rPr>
          <w:rFonts w:cs="Arial"/>
        </w:rPr>
      </w:pPr>
      <w:r w:rsidRPr="00A2103F">
        <w:rPr>
          <w:rFonts w:cs="Arial"/>
        </w:rPr>
        <w:t>Tato CEN/TS uvádí hodnoty s poznámkami, které určují, kde je možné provést národní volbu. Národní norma zavádějící tuto CEN/TS smí mít připojenu národní přílohu obsahující všechny národně stanovené parametry, které se budou používat při navrhování kotvení podle této CEN/TS pro použití v příslušném státě.</w:t>
      </w:r>
    </w:p>
    <w:p w14:paraId="7FEDB52E" w14:textId="77777777" w:rsidR="001C0F56" w:rsidRPr="00A2103F" w:rsidRDefault="001C0F56" w:rsidP="001C0F56">
      <w:pPr>
        <w:pStyle w:val="Textnormy"/>
        <w:suppressAutoHyphens/>
        <w:rPr>
          <w:rFonts w:cs="Arial"/>
        </w:rPr>
      </w:pPr>
      <w:r w:rsidRPr="00A2103F">
        <w:rPr>
          <w:rFonts w:cs="Arial"/>
        </w:rPr>
        <w:t>Při návrhu podle této CEN/TS se umožňuje národní volba dílčích součinitelů a parametrů spolehlivosti v těchto článcích:</w:t>
      </w:r>
    </w:p>
    <w:p w14:paraId="5D4CAC0E" w14:textId="77777777" w:rsidR="001C0F56" w:rsidRPr="00A2103F" w:rsidRDefault="001C0F56" w:rsidP="001C0F56">
      <w:pPr>
        <w:pStyle w:val="Seznamvnorm"/>
      </w:pPr>
      <w:r w:rsidRPr="00A2103F">
        <w:t>4.4.2;</w:t>
      </w:r>
    </w:p>
    <w:p w14:paraId="61718926" w14:textId="77777777" w:rsidR="001C0F56" w:rsidRPr="00A2103F" w:rsidRDefault="001C0F56" w:rsidP="001C0F56">
      <w:pPr>
        <w:pStyle w:val="Seznamvnorm"/>
      </w:pPr>
      <w:r w:rsidRPr="00A2103F">
        <w:t>4.4.3.1.1;</w:t>
      </w:r>
    </w:p>
    <w:p w14:paraId="5BA75E81" w14:textId="77777777" w:rsidR="001C0F56" w:rsidRPr="00A2103F" w:rsidRDefault="001C0F56" w:rsidP="001C0F56">
      <w:pPr>
        <w:pStyle w:val="Seznamvnorm"/>
      </w:pPr>
      <w:r w:rsidRPr="00A2103F">
        <w:t>4.4.3.1.2;</w:t>
      </w:r>
    </w:p>
    <w:p w14:paraId="3EE163B0" w14:textId="77777777" w:rsidR="001C0F56" w:rsidRPr="00A2103F" w:rsidRDefault="001C0F56" w:rsidP="001C0F56">
      <w:pPr>
        <w:pStyle w:val="Seznamvnorm"/>
      </w:pPr>
      <w:r w:rsidRPr="00A2103F">
        <w:t>4.4.3.1.3;</w:t>
      </w:r>
    </w:p>
    <w:p w14:paraId="67BA3532" w14:textId="77777777" w:rsidR="001C0F56" w:rsidRPr="00A2103F" w:rsidRDefault="001C0F56" w:rsidP="001C0F56">
      <w:pPr>
        <w:pStyle w:val="Seznamvnorm"/>
      </w:pPr>
      <w:r w:rsidRPr="00A2103F">
        <w:t>4.4.3.2;</w:t>
      </w:r>
    </w:p>
    <w:p w14:paraId="6D97AC55" w14:textId="77777777" w:rsidR="001C0F56" w:rsidRPr="00A2103F" w:rsidRDefault="001C0F56" w:rsidP="001C0F56">
      <w:pPr>
        <w:pStyle w:val="Seznamvnorm"/>
      </w:pPr>
      <w:r w:rsidRPr="00A2103F">
        <w:t>4.4.3.3;</w:t>
      </w:r>
    </w:p>
    <w:p w14:paraId="6EBB2BAB" w14:textId="77777777" w:rsidR="001C0F56" w:rsidRPr="00A2103F" w:rsidRDefault="001C0F56" w:rsidP="001C0F56">
      <w:pPr>
        <w:pStyle w:val="Seznamvnorm"/>
      </w:pPr>
      <w:r w:rsidRPr="00A2103F">
        <w:t>5.1.2;</w:t>
      </w:r>
    </w:p>
    <w:p w14:paraId="1D872374" w14:textId="77777777" w:rsidR="001C0F56" w:rsidRPr="00A2103F" w:rsidRDefault="001C0F56" w:rsidP="001C0F56">
      <w:pPr>
        <w:pStyle w:val="Seznamvnorm"/>
        <w:rPr>
          <w:vertAlign w:val="superscript"/>
        </w:rPr>
      </w:pPr>
      <w:proofErr w:type="gramStart"/>
      <w:r w:rsidRPr="00A2103F">
        <w:t>B.2.2;</w:t>
      </w:r>
      <w:r w:rsidRPr="00A2103F">
        <w:rPr>
          <w:vertAlign w:val="superscript"/>
        </w:rPr>
        <w:t>NP</w:t>
      </w:r>
      <w:proofErr w:type="gramEnd"/>
      <w:r w:rsidRPr="00A2103F">
        <w:rPr>
          <w:rStyle w:val="Znakapoznpodarou"/>
          <w:rFonts w:cs="Arial"/>
        </w:rPr>
        <w:footnoteReference w:id="2"/>
      </w:r>
      <w:r w:rsidRPr="00A2103F">
        <w:rPr>
          <w:vertAlign w:val="superscript"/>
        </w:rPr>
        <w:t>)</w:t>
      </w:r>
    </w:p>
    <w:p w14:paraId="6467D502" w14:textId="77777777" w:rsidR="001C0F56" w:rsidRPr="00A2103F" w:rsidRDefault="001C0F56" w:rsidP="001C0F56">
      <w:pPr>
        <w:pStyle w:val="Seznamvnorm"/>
      </w:pPr>
      <w:r w:rsidRPr="00A2103F">
        <w:t>B.3.1;</w:t>
      </w:r>
    </w:p>
    <w:p w14:paraId="7E638C95" w14:textId="77777777" w:rsidR="001C0F56" w:rsidRPr="00A2103F" w:rsidRDefault="001C0F56" w:rsidP="001C0F56">
      <w:pPr>
        <w:pStyle w:val="Seznamvnorm"/>
      </w:pPr>
      <w:r w:rsidRPr="00A2103F">
        <w:t>D.2.</w:t>
      </w:r>
    </w:p>
    <w:p w14:paraId="4C152EAF" w14:textId="77777777" w:rsidR="001C0F56" w:rsidRPr="00A2103F" w:rsidRDefault="001C0F56" w:rsidP="001C0F56">
      <w:pPr>
        <w:pStyle w:val="Nadpis1"/>
        <w:pageBreakBefore/>
        <w:spacing w:before="0"/>
      </w:pPr>
      <w:bookmarkStart w:id="71" w:name="_Toc269481518"/>
      <w:r w:rsidRPr="00A2103F">
        <w:lastRenderedPageBreak/>
        <w:t>1</w:t>
      </w:r>
      <w:r w:rsidRPr="00A2103F">
        <w:rPr>
          <w:rFonts w:cs="Arial"/>
        </w:rPr>
        <w:t> </w:t>
      </w:r>
      <w:r w:rsidRPr="00A2103F">
        <w:t>Předmět normy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</w:p>
    <w:p w14:paraId="63ACC178" w14:textId="77777777" w:rsidR="001C0F56" w:rsidRPr="00A2103F" w:rsidRDefault="001C0F56" w:rsidP="001C0F56">
      <w:pPr>
        <w:pStyle w:val="Nadpis2"/>
      </w:pPr>
      <w:bookmarkStart w:id="72" w:name="_Toc269481519"/>
      <w:r w:rsidRPr="00A2103F">
        <w:t>1.1</w:t>
      </w:r>
      <w:r w:rsidRPr="00A2103F">
        <w:t> </w:t>
      </w:r>
      <w:bookmarkEnd w:id="72"/>
      <w:r w:rsidRPr="00A2103F">
        <w:t>Obecně</w:t>
      </w:r>
    </w:p>
    <w:p w14:paraId="758706E3" w14:textId="77777777" w:rsidR="001C0F56" w:rsidRPr="00A2103F" w:rsidRDefault="001C0F56" w:rsidP="00A2103F">
      <w:pPr>
        <w:pStyle w:val="Textnormy"/>
        <w:spacing w:before="240"/>
      </w:pPr>
      <w:r w:rsidRPr="00A2103F">
        <w:rPr>
          <w:b/>
        </w:rPr>
        <w:t>1.1.1</w:t>
      </w:r>
      <w:r w:rsidRPr="00A2103F">
        <w:t> </w:t>
      </w:r>
      <w:r w:rsidRPr="00A2103F">
        <w:t>Tato CEN/TS se zabývá metodami navrhování nosných kotvení, která se používají k přenosu zatížení do betonu.</w:t>
      </w:r>
    </w:p>
    <w:p w14:paraId="58201AB0" w14:textId="205CF5FF" w:rsidR="001C0F56" w:rsidRPr="00A2103F" w:rsidRDefault="001C0F56" w:rsidP="001C0F56">
      <w:pPr>
        <w:pStyle w:val="Textnormy"/>
      </w:pPr>
      <w:r w:rsidRPr="00A2103F">
        <w:rPr>
          <w:spacing w:val="-2"/>
        </w:rPr>
        <w:t>Zabudované prostředky, které jsou uloženy v betonových prefabrikátech během výroby, za podmínek řízení výroby</w:t>
      </w:r>
      <w:r w:rsidRPr="00A2103F">
        <w:t xml:space="preserve"> a s patřičnou výztuží a které jsou určeny pro použití pouze během dočasných situací pro zvedání a manipulaci, jsou zahrnuty do CEN/TS „Navrhování a použití úchytů pro zvedání a manipulaci s betonovými prefabrikáty“ </w:t>
      </w:r>
      <w:r w:rsidR="00A2103F">
        <w:br/>
      </w:r>
      <w:r w:rsidRPr="00A2103F">
        <w:t>vypracované v CEN/TC</w:t>
      </w:r>
      <w:r w:rsidR="003C1B09">
        <w:t> </w:t>
      </w:r>
      <w:r w:rsidRPr="00A2103F">
        <w:t>229.</w:t>
      </w:r>
    </w:p>
    <w:p w14:paraId="62ACC540" w14:textId="77777777" w:rsidR="001C0F56" w:rsidRPr="00A2103F" w:rsidRDefault="001C0F56" w:rsidP="00A2103F">
      <w:pPr>
        <w:pStyle w:val="Textnormy"/>
        <w:spacing w:before="240"/>
      </w:pPr>
      <w:r w:rsidRPr="00A2103F">
        <w:rPr>
          <w:b/>
        </w:rPr>
        <w:t>1.1.2</w:t>
      </w:r>
      <w:r w:rsidRPr="00A2103F">
        <w:t> </w:t>
      </w:r>
      <w:r w:rsidRPr="00A2103F">
        <w:t>Tato CEN/TS je určena pro aplikace, u kterých porušení kotvení může:</w:t>
      </w:r>
    </w:p>
    <w:p w14:paraId="191816FF" w14:textId="77777777" w:rsidR="001C0F56" w:rsidRPr="00A2103F" w:rsidRDefault="001C0F56" w:rsidP="00296D4A">
      <w:pPr>
        <w:pStyle w:val="Textnormy"/>
        <w:numPr>
          <w:ilvl w:val="0"/>
          <w:numId w:val="9"/>
        </w:numPr>
        <w:tabs>
          <w:tab w:val="clear" w:pos="1080"/>
        </w:tabs>
        <w:ind w:left="284" w:hanging="284"/>
      </w:pPr>
      <w:r w:rsidRPr="00A2103F">
        <w:t>způsobit kolaps konstrukce nebo části konstrukce; nebo</w:t>
      </w:r>
    </w:p>
    <w:p w14:paraId="4C36F9F2" w14:textId="77777777" w:rsidR="001C0F56" w:rsidRPr="00A2103F" w:rsidRDefault="001C0F56" w:rsidP="00296D4A">
      <w:pPr>
        <w:pStyle w:val="Textnormy"/>
        <w:numPr>
          <w:ilvl w:val="0"/>
          <w:numId w:val="9"/>
        </w:numPr>
        <w:tabs>
          <w:tab w:val="clear" w:pos="1080"/>
        </w:tabs>
        <w:ind w:left="284" w:hanging="284"/>
      </w:pPr>
      <w:r w:rsidRPr="00A2103F">
        <w:t>způsobit ohrožení lidských životů; nebo</w:t>
      </w:r>
    </w:p>
    <w:p w14:paraId="741F936D" w14:textId="77777777" w:rsidR="001C0F56" w:rsidRPr="00A2103F" w:rsidRDefault="001C0F56" w:rsidP="00296D4A">
      <w:pPr>
        <w:pStyle w:val="Textnormy"/>
        <w:numPr>
          <w:ilvl w:val="0"/>
          <w:numId w:val="9"/>
        </w:numPr>
        <w:tabs>
          <w:tab w:val="clear" w:pos="1080"/>
        </w:tabs>
        <w:ind w:left="284" w:hanging="284"/>
      </w:pPr>
      <w:r w:rsidRPr="00A2103F">
        <w:t>vést k významným ekonomickým ztrátám.</w:t>
      </w:r>
    </w:p>
    <w:p w14:paraId="7A67A69E" w14:textId="77777777" w:rsidR="001C0F56" w:rsidRPr="00A2103F" w:rsidRDefault="001C0F56" w:rsidP="00A2103F">
      <w:pPr>
        <w:pStyle w:val="Textnormy"/>
        <w:spacing w:before="240"/>
      </w:pPr>
      <w:r w:rsidRPr="00A2103F">
        <w:rPr>
          <w:b/>
        </w:rPr>
        <w:t>1.1.3</w:t>
      </w:r>
      <w:r w:rsidRPr="00A2103F">
        <w:t> </w:t>
      </w:r>
      <w:r w:rsidRPr="00A2103F">
        <w:t>Podepření kotevní desky může být staticky určité nebo staticky neurčité, definované v některých Evropských technických schváleních (ETA) jako skupinové použití kotev. Každé podepření se může skládat z jedné kotvy nebo ze skupiny kotev.</w:t>
      </w:r>
    </w:p>
    <w:p w14:paraId="756FFC7F" w14:textId="6254503F" w:rsidR="001C0F56" w:rsidRPr="00A2103F" w:rsidRDefault="001C0F56" w:rsidP="00A2103F">
      <w:pPr>
        <w:pStyle w:val="Textnormy"/>
        <w:spacing w:before="240"/>
      </w:pPr>
      <w:r w:rsidRPr="00A2103F">
        <w:rPr>
          <w:b/>
        </w:rPr>
        <w:t>1.1.4</w:t>
      </w:r>
      <w:r w:rsidRPr="00A2103F">
        <w:rPr>
          <w:b/>
        </w:rPr>
        <w:t> </w:t>
      </w:r>
      <w:r w:rsidRPr="00A2103F">
        <w:t>Tato CEN/TS platí pro použití, na která se vztahuje soubor EN</w:t>
      </w:r>
      <w:r w:rsidR="003C1B09">
        <w:t> </w:t>
      </w:r>
      <w:r w:rsidRPr="00A2103F">
        <w:t>1992. Pro použití, která podléhají zvláštnímu posouzení, např. atomové elektrárny nebo konstrukce pro civilní obranu, je nutná úprava.</w:t>
      </w:r>
    </w:p>
    <w:p w14:paraId="64369323" w14:textId="77777777" w:rsidR="001C0F56" w:rsidRPr="00A2103F" w:rsidRDefault="001C0F56" w:rsidP="00A2103F">
      <w:pPr>
        <w:pStyle w:val="Textnormy"/>
        <w:spacing w:before="240"/>
      </w:pPr>
      <w:r w:rsidRPr="00A2103F">
        <w:rPr>
          <w:b/>
        </w:rPr>
        <w:t>1.1.5</w:t>
      </w:r>
      <w:r w:rsidRPr="00A2103F">
        <w:rPr>
          <w:b/>
        </w:rPr>
        <w:t> </w:t>
      </w:r>
      <w:r w:rsidRPr="00A2103F">
        <w:t xml:space="preserve">Tato CEN/TS se nezabývá návrhem kotevní desky. Návrh kotevní desky musí být proveden ve shodě s příslušnými normami. Požadavky na tuhost a duktilitu kotevní desky jsou uvedeny v kapitolách </w:t>
      </w:r>
      <w:smartTag w:uri="urn:schemas-microsoft-com:office:smarttags" w:element="metricconverter">
        <w:smartTagPr>
          <w:attr w:name="ProductID" w:val="5ﾠa"/>
        </w:smartTagPr>
        <w:r w:rsidRPr="00A2103F">
          <w:t>5 a</w:t>
        </w:r>
      </w:smartTag>
      <w:r w:rsidRPr="00A2103F">
        <w:t xml:space="preserve"> 8.</w:t>
      </w:r>
    </w:p>
    <w:p w14:paraId="1CB7A16D" w14:textId="77777777" w:rsidR="001C0F56" w:rsidRPr="00A2103F" w:rsidRDefault="001C0F56" w:rsidP="001C0F56">
      <w:pPr>
        <w:pStyle w:val="Nadpis2"/>
      </w:pPr>
      <w:bookmarkStart w:id="73" w:name="_Toc269481520"/>
      <w:r w:rsidRPr="00A2103F">
        <w:t>1.2</w:t>
      </w:r>
      <w:r w:rsidRPr="00A2103F">
        <w:t> </w:t>
      </w:r>
      <w:r w:rsidRPr="00A2103F">
        <w:t>Typ kotev a skupin kotev</w:t>
      </w:r>
      <w:bookmarkEnd w:id="73"/>
    </w:p>
    <w:p w14:paraId="4BB881CD" w14:textId="77777777" w:rsidR="001C0F56" w:rsidRPr="00A2103F" w:rsidRDefault="001C0F56" w:rsidP="00A2103F">
      <w:pPr>
        <w:pStyle w:val="Textnormy"/>
        <w:spacing w:before="240"/>
      </w:pPr>
      <w:r w:rsidRPr="00A2103F">
        <w:rPr>
          <w:b/>
        </w:rPr>
        <w:t>1.2.1</w:t>
      </w:r>
      <w:r w:rsidRPr="00A2103F">
        <w:t> </w:t>
      </w:r>
      <w:r w:rsidRPr="00A2103F">
        <w:t>Tato CEN/TS platí pro:</w:t>
      </w:r>
    </w:p>
    <w:p w14:paraId="00587FF3" w14:textId="77777777" w:rsidR="001C0F56" w:rsidRPr="00A2103F" w:rsidRDefault="001C0F56" w:rsidP="001C0F56">
      <w:pPr>
        <w:pStyle w:val="Textnormy"/>
        <w:ind w:left="284" w:hanging="284"/>
      </w:pPr>
      <w:r w:rsidRPr="00A2103F">
        <w:t>a)</w:t>
      </w:r>
      <w:r w:rsidRPr="00A2103F">
        <w:tab/>
        <w:t>zabetonovaná kotvení, jako jsou kotvy s hlavou, upevňovací lišty s tuhým spojem mezi kotvou a lištou;</w:t>
      </w:r>
    </w:p>
    <w:p w14:paraId="5E314506" w14:textId="77777777" w:rsidR="001C0F56" w:rsidRPr="00A2103F" w:rsidRDefault="001C0F56" w:rsidP="001C0F56">
      <w:pPr>
        <w:pStyle w:val="Textnormy"/>
        <w:ind w:left="284" w:hanging="284"/>
      </w:pPr>
      <w:r w:rsidRPr="00A2103F">
        <w:t>b)</w:t>
      </w:r>
      <w:r w:rsidRPr="00A2103F">
        <w:tab/>
        <w:t xml:space="preserve">dodatečně osazované kotvy, jako jsou rozpěrné kotvy, </w:t>
      </w:r>
      <w:r w:rsidRPr="00A2103F">
        <w:rPr>
          <w:rFonts w:cs="Arial"/>
        </w:rPr>
        <w:t>zařezávací</w:t>
      </w:r>
      <w:r w:rsidRPr="00A2103F">
        <w:t xml:space="preserve"> kotvy, šrouby do betonu, injektované kotvy, injektované rozpěrné kotvy a injektované </w:t>
      </w:r>
      <w:r w:rsidRPr="00A2103F">
        <w:rPr>
          <w:rFonts w:cs="Arial"/>
        </w:rPr>
        <w:t>zařezávací</w:t>
      </w:r>
      <w:r w:rsidRPr="00A2103F">
        <w:t xml:space="preserve"> kotvy.</w:t>
      </w:r>
    </w:p>
    <w:p w14:paraId="2331D66B" w14:textId="77777777" w:rsidR="001C0F56" w:rsidRPr="00A2103F" w:rsidRDefault="001C0F56" w:rsidP="001C0F56">
      <w:pPr>
        <w:pStyle w:val="Textnormy"/>
      </w:pPr>
      <w:r w:rsidRPr="00A2103F">
        <w:t>Pro ostatní typy kotev je nutná úprava návrhových ustanovení.</w:t>
      </w:r>
    </w:p>
    <w:p w14:paraId="49FB8390" w14:textId="77777777" w:rsidR="001C0F56" w:rsidRPr="00A2103F" w:rsidRDefault="001C0F56" w:rsidP="001C0F56">
      <w:pPr>
        <w:pStyle w:val="Nadpis1"/>
        <w:pageBreakBefore/>
        <w:spacing w:before="0"/>
        <w:rPr>
          <w:b w:val="0"/>
        </w:rPr>
      </w:pPr>
      <w:bookmarkStart w:id="74" w:name="_Toc269481592"/>
      <w:r w:rsidRPr="00A2103F">
        <w:lastRenderedPageBreak/>
        <w:t xml:space="preserve">Národní příloha NA </w:t>
      </w:r>
      <w:r w:rsidRPr="00A2103F">
        <w:rPr>
          <w:b w:val="0"/>
        </w:rPr>
        <w:t>(informativní)</w:t>
      </w:r>
    </w:p>
    <w:p w14:paraId="50F30A19" w14:textId="77777777" w:rsidR="001C0F56" w:rsidRPr="00A2103F" w:rsidRDefault="001C0F56" w:rsidP="001C0F56">
      <w:pPr>
        <w:pStyle w:val="Nadpis1"/>
      </w:pPr>
      <w:r w:rsidRPr="00A2103F">
        <w:t>Národně stanovené parametry a doplňující informace</w:t>
      </w:r>
      <w:bookmarkEnd w:id="74"/>
    </w:p>
    <w:p w14:paraId="16D7324F" w14:textId="77777777" w:rsidR="001C0F56" w:rsidRPr="00A2103F" w:rsidRDefault="001C0F56" w:rsidP="001C0F56">
      <w:pPr>
        <w:pStyle w:val="Nadpis4"/>
      </w:pPr>
      <w:r w:rsidRPr="00A2103F">
        <w:t>NA.1</w:t>
      </w:r>
      <w:r w:rsidRPr="00A2103F">
        <w:t> </w:t>
      </w:r>
      <w:r w:rsidRPr="00A2103F">
        <w:t>Rozsah přílohy</w:t>
      </w:r>
    </w:p>
    <w:p w14:paraId="58B1B047" w14:textId="77777777" w:rsidR="001C0F56" w:rsidRPr="00A2103F" w:rsidRDefault="001C0F56" w:rsidP="001C0F56">
      <w:pPr>
        <w:pStyle w:val="Textnormy"/>
      </w:pPr>
      <w:r w:rsidRPr="00A2103F">
        <w:t>Národní příloha NA uvádí národně stanovené parametry potřebné pro navrhování kotvení, která se mají použít na území České republiky.</w:t>
      </w:r>
    </w:p>
    <w:p w14:paraId="33C47ABF" w14:textId="77777777" w:rsidR="001C0F56" w:rsidRPr="00A2103F" w:rsidRDefault="001C0F56" w:rsidP="001C0F56">
      <w:pPr>
        <w:pStyle w:val="Textnormy"/>
        <w:rPr>
          <w:b/>
        </w:rPr>
      </w:pPr>
      <w:r w:rsidRPr="00A2103F">
        <w:rPr>
          <w:b/>
        </w:rPr>
        <w:t>Národně stanovené parametry mají pro kotvení, která se mají použít na území České republiky, normativní charakter.</w:t>
      </w:r>
    </w:p>
    <w:p w14:paraId="13A5BAE5" w14:textId="77777777" w:rsidR="001C0F56" w:rsidRPr="00A2103F" w:rsidRDefault="001C0F56" w:rsidP="001C0F56">
      <w:pPr>
        <w:pStyle w:val="Textnormy"/>
      </w:pPr>
      <w:r w:rsidRPr="00A2103F">
        <w:t>Národně stanovené parametry jsou určené v článcích, ve kterých to EN 1992-4-1 umožňuje.</w:t>
      </w:r>
    </w:p>
    <w:p w14:paraId="57FF9DEF" w14:textId="77777777" w:rsidR="001C0F56" w:rsidRPr="00A2103F" w:rsidRDefault="001C0F56" w:rsidP="001C0F56">
      <w:pPr>
        <w:pStyle w:val="Nadpis4"/>
      </w:pPr>
      <w:r w:rsidRPr="00A2103F">
        <w:t>NA.2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Národně stanovené parametry</w:t>
      </w:r>
    </w:p>
    <w:p w14:paraId="045AC341" w14:textId="77777777" w:rsidR="001C0F56" w:rsidRPr="00A2103F" w:rsidRDefault="001C0F56" w:rsidP="001C0F56">
      <w:pPr>
        <w:pStyle w:val="Nadpis4"/>
      </w:pPr>
      <w:r w:rsidRPr="00A2103F">
        <w:t>NA.2.1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4.4.2 Dílčí součinitele pro nepřímé a únavové zatížení</w:t>
      </w:r>
    </w:p>
    <w:p w14:paraId="29013788" w14:textId="77777777" w:rsidR="001C0F56" w:rsidRPr="00A2103F" w:rsidRDefault="001C0F56" w:rsidP="001C0F56">
      <w:pPr>
        <w:pStyle w:val="Textnormy"/>
      </w:pPr>
      <w:r w:rsidRPr="00A2103F">
        <w:t xml:space="preserve">Doporučené hodnoty pro </w:t>
      </w:r>
      <w:r w:rsidRPr="00A2103F">
        <w:rPr>
          <w:i/>
        </w:rPr>
        <w:sym w:font="Symbol" w:char="F067"/>
      </w:r>
      <w:r w:rsidRPr="00A2103F">
        <w:rPr>
          <w:vertAlign w:val="subscript"/>
        </w:rPr>
        <w:t>ind</w:t>
      </w:r>
      <w:r w:rsidRPr="00A2103F">
        <w:t xml:space="preserve"> a 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F,fat</w:t>
      </w:r>
      <w:proofErr w:type="gramEnd"/>
      <w:r w:rsidRPr="00A2103F">
        <w:t xml:space="preserve"> se pro ČR nemění.</w:t>
      </w:r>
    </w:p>
    <w:p w14:paraId="2EBC289C" w14:textId="77777777" w:rsidR="001C0F56" w:rsidRPr="00A2103F" w:rsidRDefault="001C0F56" w:rsidP="001C0F56">
      <w:pPr>
        <w:pStyle w:val="Nadpis4"/>
      </w:pPr>
      <w:r w:rsidRPr="00A2103F">
        <w:t>NA.2.2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4.4.3.1.1 Dílčí součinitele pro ocel</w:t>
      </w:r>
    </w:p>
    <w:p w14:paraId="036EB81A" w14:textId="77777777" w:rsidR="001C0F56" w:rsidRPr="00A2103F" w:rsidRDefault="001C0F56" w:rsidP="001C0F56">
      <w:pPr>
        <w:pStyle w:val="Textnormy"/>
      </w:pPr>
      <w:r w:rsidRPr="00A2103F">
        <w:t xml:space="preserve">Doporučené hodnoty pro </w:t>
      </w:r>
      <w:r w:rsidRPr="00A2103F">
        <w:rPr>
          <w:i/>
        </w:rPr>
        <w:sym w:font="Symbol" w:char="F067"/>
      </w:r>
      <w:r w:rsidRPr="00A2103F">
        <w:rPr>
          <w:vertAlign w:val="subscript"/>
        </w:rPr>
        <w:t>Ms</w:t>
      </w:r>
      <w:r w:rsidRPr="00A2103F">
        <w:t xml:space="preserve">,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Ms,ca</w:t>
      </w:r>
      <w:proofErr w:type="gramEnd"/>
      <w:r w:rsidRPr="00A2103F">
        <w:t xml:space="preserve">,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Ms,I</w:t>
      </w:r>
      <w:proofErr w:type="gramEnd"/>
      <w:r w:rsidRPr="00A2103F">
        <w:t xml:space="preserve">,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Ms,flex</w:t>
      </w:r>
      <w:proofErr w:type="gramEnd"/>
      <w:r w:rsidRPr="00A2103F">
        <w:t xml:space="preserve"> a 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Ms,re</w:t>
      </w:r>
      <w:proofErr w:type="gramEnd"/>
      <w:r w:rsidRPr="00A2103F">
        <w:t xml:space="preserve"> se pro ČR nemění.</w:t>
      </w:r>
    </w:p>
    <w:p w14:paraId="49995F3D" w14:textId="77777777" w:rsidR="001C0F56" w:rsidRPr="00A2103F" w:rsidRDefault="001C0F56" w:rsidP="001C0F56">
      <w:pPr>
        <w:pStyle w:val="Nadpis4"/>
      </w:pPr>
      <w:r w:rsidRPr="00A2103F">
        <w:t>NA.2.3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4.4.3.1.2 Dílčí součinitel pro beton</w:t>
      </w:r>
    </w:p>
    <w:p w14:paraId="1BE77DEE" w14:textId="77777777" w:rsidR="001C0F56" w:rsidRPr="00A2103F" w:rsidRDefault="001C0F56" w:rsidP="001C0F56">
      <w:pPr>
        <w:pStyle w:val="Textnormy"/>
      </w:pPr>
      <w:r w:rsidRPr="00A2103F">
        <w:t xml:space="preserve">Doporučené hodnoty pro </w:t>
      </w:r>
      <w:r w:rsidRPr="00A2103F">
        <w:rPr>
          <w:i/>
        </w:rPr>
        <w:sym w:font="Symbol" w:char="F067"/>
      </w:r>
      <w:r w:rsidRPr="00A2103F">
        <w:rPr>
          <w:vertAlign w:val="subscript"/>
        </w:rPr>
        <w:t>c</w:t>
      </w:r>
      <w:r w:rsidRPr="00A2103F">
        <w:t xml:space="preserve"> a </w:t>
      </w:r>
      <w:r w:rsidRPr="00A2103F">
        <w:rPr>
          <w:i/>
        </w:rPr>
        <w:sym w:font="Symbol" w:char="F067"/>
      </w:r>
      <w:r w:rsidRPr="00A2103F">
        <w:rPr>
          <w:vertAlign w:val="subscript"/>
        </w:rPr>
        <w:t>Msp</w:t>
      </w:r>
      <w:r w:rsidRPr="00A2103F">
        <w:t xml:space="preserve"> se pro ČR nemění.</w:t>
      </w:r>
    </w:p>
    <w:p w14:paraId="1AD6D3FA" w14:textId="77777777" w:rsidR="001C0F56" w:rsidRPr="00A2103F" w:rsidRDefault="001C0F56" w:rsidP="001C0F56">
      <w:pPr>
        <w:pStyle w:val="Nadpis4"/>
      </w:pPr>
      <w:r w:rsidRPr="00A2103F">
        <w:t>NA.2.4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4.4.3.1.3 Dílčí součinitel pro porušení vytažením</w:t>
      </w:r>
    </w:p>
    <w:p w14:paraId="3E8EE05B" w14:textId="77777777" w:rsidR="001C0F56" w:rsidRPr="00A2103F" w:rsidRDefault="001C0F56" w:rsidP="001C0F56">
      <w:pPr>
        <w:pStyle w:val="Textnormy"/>
      </w:pPr>
      <w:r w:rsidRPr="00A2103F">
        <w:t xml:space="preserve">Doporučená hodnota pro </w:t>
      </w:r>
      <w:r w:rsidRPr="00A2103F">
        <w:rPr>
          <w:i/>
        </w:rPr>
        <w:sym w:font="Symbol" w:char="F067"/>
      </w:r>
      <w:r w:rsidRPr="00A2103F">
        <w:rPr>
          <w:vertAlign w:val="subscript"/>
        </w:rPr>
        <w:t>Mp</w:t>
      </w:r>
      <w:r w:rsidRPr="00A2103F">
        <w:t xml:space="preserve"> se pro ČR nemění.</w:t>
      </w:r>
    </w:p>
    <w:p w14:paraId="0A41E84A" w14:textId="77777777" w:rsidR="001C0F56" w:rsidRPr="00A2103F" w:rsidRDefault="001C0F56" w:rsidP="001C0F56">
      <w:pPr>
        <w:pStyle w:val="Nadpis4"/>
      </w:pPr>
      <w:r w:rsidRPr="00A2103F">
        <w:t>NA.2.5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4.4.3.2 Mezní stav únavy</w:t>
      </w:r>
    </w:p>
    <w:p w14:paraId="1D792192" w14:textId="77777777" w:rsidR="001C0F56" w:rsidRPr="00A2103F" w:rsidRDefault="001C0F56" w:rsidP="001C0F56">
      <w:pPr>
        <w:pStyle w:val="Textnormy"/>
      </w:pPr>
      <w:r w:rsidRPr="00A2103F">
        <w:t xml:space="preserve">Doporučené hodnoty pro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Ms,fat</w:t>
      </w:r>
      <w:proofErr w:type="gramEnd"/>
      <w:r w:rsidRPr="00A2103F">
        <w:t xml:space="preserve">,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Mc,fat</w:t>
      </w:r>
      <w:proofErr w:type="gramEnd"/>
      <w:r w:rsidRPr="00A2103F">
        <w:t xml:space="preserve">,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Msp,fat</w:t>
      </w:r>
      <w:proofErr w:type="gramEnd"/>
      <w:r w:rsidRPr="00A2103F">
        <w:t xml:space="preserve"> a 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Mp,fat</w:t>
      </w:r>
      <w:proofErr w:type="gramEnd"/>
      <w:r w:rsidRPr="00A2103F">
        <w:t xml:space="preserve"> se pro ČR nemění.</w:t>
      </w:r>
    </w:p>
    <w:p w14:paraId="4B09AAD7" w14:textId="77777777" w:rsidR="001C0F56" w:rsidRPr="00A2103F" w:rsidRDefault="001C0F56" w:rsidP="001C0F56">
      <w:pPr>
        <w:pStyle w:val="Nadpis4"/>
      </w:pPr>
      <w:r w:rsidRPr="00A2103F">
        <w:t>NA.2.6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4.4.3.3 Dílčí součinitele v mezním stavu použitelnosti</w:t>
      </w:r>
    </w:p>
    <w:p w14:paraId="4CEBDAEA" w14:textId="77777777" w:rsidR="001C0F56" w:rsidRPr="00A2103F" w:rsidRDefault="001C0F56" w:rsidP="001C0F56">
      <w:pPr>
        <w:pStyle w:val="Textnormy"/>
      </w:pPr>
      <w:r w:rsidRPr="00A2103F">
        <w:t xml:space="preserve">Doporučená hodnota pro </w:t>
      </w:r>
      <w:r w:rsidRPr="00A2103F">
        <w:rPr>
          <w:i/>
        </w:rPr>
        <w:sym w:font="Symbol" w:char="F067"/>
      </w:r>
      <w:r w:rsidRPr="00A2103F">
        <w:rPr>
          <w:vertAlign w:val="subscript"/>
        </w:rPr>
        <w:t>M</w:t>
      </w:r>
      <w:r w:rsidRPr="00A2103F">
        <w:t xml:space="preserve"> se pro ČR nemění.</w:t>
      </w:r>
    </w:p>
    <w:p w14:paraId="0F3A1090" w14:textId="77777777" w:rsidR="001C0F56" w:rsidRPr="00A2103F" w:rsidRDefault="001C0F56" w:rsidP="001C0F56">
      <w:pPr>
        <w:pStyle w:val="Nadpis4"/>
        <w:rPr>
          <w:rFonts w:cs="Arial"/>
        </w:rPr>
      </w:pPr>
      <w:r w:rsidRPr="00A2103F">
        <w:t>NA.2.7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 xml:space="preserve">Článek </w:t>
      </w:r>
      <w:r w:rsidRPr="00A2103F">
        <w:rPr>
          <w:rFonts w:cs="Arial"/>
        </w:rPr>
        <w:t xml:space="preserve">5.1.2 </w:t>
      </w:r>
    </w:p>
    <w:p w14:paraId="419A17B7" w14:textId="77777777" w:rsidR="001C0F56" w:rsidRPr="00A2103F" w:rsidRDefault="001C0F56" w:rsidP="001C0F56">
      <w:pPr>
        <w:pStyle w:val="Textnormy"/>
      </w:pPr>
      <w:r w:rsidRPr="00A2103F">
        <w:t xml:space="preserve">Doporučená hodnota pro </w:t>
      </w:r>
      <w:r w:rsidRPr="00A2103F">
        <w:rPr>
          <w:i/>
        </w:rPr>
        <w:sym w:font="Symbol" w:char="F073"/>
      </w:r>
      <w:r w:rsidRPr="00A2103F">
        <w:rPr>
          <w:vertAlign w:val="subscript"/>
        </w:rPr>
        <w:t>adm</w:t>
      </w:r>
      <w:r w:rsidRPr="00A2103F">
        <w:t xml:space="preserve"> se pro ČR nemění.</w:t>
      </w:r>
    </w:p>
    <w:p w14:paraId="4F8C922F" w14:textId="77777777" w:rsidR="001C0F56" w:rsidRPr="00A2103F" w:rsidRDefault="001C0F56" w:rsidP="001C0F56">
      <w:pPr>
        <w:pStyle w:val="Nadpis4"/>
        <w:rPr>
          <w:rFonts w:cs="Arial"/>
        </w:rPr>
      </w:pPr>
      <w:r w:rsidRPr="00A2103F">
        <w:t>NA.2.8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</w:t>
      </w:r>
      <w:r w:rsidRPr="00A2103F">
        <w:rPr>
          <w:rFonts w:cs="Arial"/>
        </w:rPr>
        <w:t xml:space="preserve"> B.2.2 </w:t>
      </w:r>
    </w:p>
    <w:p w14:paraId="5ED0F295" w14:textId="77777777" w:rsidR="001C0F56" w:rsidRPr="00A2103F" w:rsidRDefault="001C0F56" w:rsidP="001C0F56">
      <w:pPr>
        <w:pStyle w:val="Textnormy"/>
      </w:pPr>
      <w:r w:rsidRPr="00A2103F">
        <w:t xml:space="preserve">Doporučená hodnota pro </w:t>
      </w:r>
      <w:r w:rsidRPr="00A2103F">
        <w:rPr>
          <w:i/>
        </w:rPr>
        <w:sym w:font="Symbol" w:char="F067"/>
      </w:r>
      <w:r w:rsidRPr="00A2103F">
        <w:rPr>
          <w:vertAlign w:val="subscript"/>
        </w:rPr>
        <w:t>Ms</w:t>
      </w:r>
      <w:r w:rsidRPr="00A2103F">
        <w:t xml:space="preserve"> se pro ČR nemění.</w:t>
      </w:r>
    </w:p>
    <w:p w14:paraId="10F73259" w14:textId="77777777" w:rsidR="001C0F56" w:rsidRPr="00A2103F" w:rsidRDefault="001C0F56" w:rsidP="001C0F56">
      <w:pPr>
        <w:pStyle w:val="Nadpis4"/>
      </w:pPr>
      <w:r w:rsidRPr="00A2103F">
        <w:t>NA.2.9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B.3.1 Dílčí součinitele</w:t>
      </w:r>
    </w:p>
    <w:p w14:paraId="7653293D" w14:textId="77777777" w:rsidR="001C0F56" w:rsidRPr="00A2103F" w:rsidRDefault="001C0F56" w:rsidP="001C0F56">
      <w:pPr>
        <w:pStyle w:val="Textnormy"/>
      </w:pPr>
      <w:r w:rsidRPr="00A2103F">
        <w:t xml:space="preserve">Doporučená hodnota pro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Ms,pl</w:t>
      </w:r>
      <w:proofErr w:type="gramEnd"/>
      <w:r w:rsidRPr="00A2103F">
        <w:t xml:space="preserve"> se pro ČR nemění.</w:t>
      </w:r>
    </w:p>
    <w:p w14:paraId="6F62101A" w14:textId="77777777" w:rsidR="001C0F56" w:rsidRPr="00A2103F" w:rsidRDefault="001C0F56" w:rsidP="001C0F56">
      <w:pPr>
        <w:pStyle w:val="Nadpis4"/>
      </w:pPr>
      <w:r w:rsidRPr="00A2103F">
        <w:t>NA.2.10</w:t>
      </w:r>
      <w:r w:rsidRPr="00A2103F">
        <w:rPr>
          <w:rFonts w:ascii="Arial Unicode MS" w:eastAsia="Arial Unicode MS" w:hAnsi="Arial Unicode MS" w:cs="Arial Unicode MS" w:hint="eastAsia"/>
        </w:rPr>
        <w:t> </w:t>
      </w:r>
      <w:r w:rsidRPr="00A2103F">
        <w:t>Článek D.2 Dílčí součinitele</w:t>
      </w:r>
    </w:p>
    <w:p w14:paraId="2010BAE5" w14:textId="77777777" w:rsidR="001C0F56" w:rsidRPr="00A2103F" w:rsidRDefault="001C0F56" w:rsidP="001C0F56">
      <w:pPr>
        <w:pStyle w:val="Textnormy"/>
      </w:pPr>
      <w:r w:rsidRPr="00A2103F">
        <w:t xml:space="preserve">Doporučené hodnoty pro 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F,fi</w:t>
      </w:r>
      <w:proofErr w:type="gramEnd"/>
      <w:r w:rsidRPr="00A2103F">
        <w:t xml:space="preserve"> a </w:t>
      </w:r>
      <w:r w:rsidRPr="00A2103F">
        <w:rPr>
          <w:i/>
        </w:rPr>
        <w:sym w:font="Symbol" w:char="F067"/>
      </w:r>
      <w:proofErr w:type="gramStart"/>
      <w:r w:rsidRPr="00A2103F">
        <w:rPr>
          <w:vertAlign w:val="subscript"/>
        </w:rPr>
        <w:t>M,fi</w:t>
      </w:r>
      <w:proofErr w:type="gramEnd"/>
      <w:r w:rsidRPr="00A2103F">
        <w:t xml:space="preserve"> se pro ČR nemění.</w:t>
      </w:r>
    </w:p>
    <w:p w14:paraId="3CDEAA00" w14:textId="77777777" w:rsidR="001C0F56" w:rsidRPr="00A2103F" w:rsidRDefault="001C0F56" w:rsidP="001C0F56">
      <w:pPr>
        <w:pStyle w:val="Textnormy"/>
      </w:pPr>
    </w:p>
    <w:sectPr w:rsidR="001C0F56" w:rsidRPr="00A2103F" w:rsidSect="004B55A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F874D0" w14:textId="77777777" w:rsidR="00C40B75" w:rsidRDefault="00C40B75">
      <w:r>
        <w:separator/>
      </w:r>
    </w:p>
  </w:endnote>
  <w:endnote w:type="continuationSeparator" w:id="0">
    <w:p w14:paraId="4C052C4C" w14:textId="77777777" w:rsidR="00C40B75" w:rsidRDefault="00C40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  <w:embedRegular r:id="rId1" w:subsetted="1" w:fontKey="{8E320B64-6579-4B75-9F2B-9BF7C14F4DB3}"/>
    <w:embedBold r:id="rId2" w:subsetted="1" w:fontKey="{B61E2E44-1C07-4597-95E8-7079714F91C6}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2D6AA5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75612C08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C2882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217AD49A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4F2006" w14:textId="3F61DDF8" w:rsidR="00186FAF" w:rsidRPr="00166D3D" w:rsidRDefault="00186FAF" w:rsidP="00186FAF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668C5993" wp14:editId="31553C9D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400" cy="568800"/>
          <wp:effectExtent l="0" t="0" r="7620" b="3175"/>
          <wp:wrapNone/>
          <wp:docPr id="956890322" name="Obrázek 3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4171812" name="Obrázek 3" descr="Obsah obrázku text, Písmo, logo, bílé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4400" cy="568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BE31FF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1ADEE" w14:textId="77777777" w:rsidR="00AE1838" w:rsidRDefault="00296D4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4434D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7CD75" w14:textId="77777777" w:rsidR="00AE1838" w:rsidRDefault="00296D4A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E4434D">
      <w:rPr>
        <w:rStyle w:val="slostrnky"/>
        <w:noProof/>
      </w:rPr>
      <w:t>7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59D54" w14:textId="77777777" w:rsidR="00C40B75" w:rsidRDefault="00C40B75">
      <w:r>
        <w:separator/>
      </w:r>
    </w:p>
  </w:footnote>
  <w:footnote w:type="continuationSeparator" w:id="0">
    <w:p w14:paraId="001BE82F" w14:textId="77777777" w:rsidR="00C40B75" w:rsidRDefault="00C40B75">
      <w:r>
        <w:continuationSeparator/>
      </w:r>
    </w:p>
  </w:footnote>
  <w:footnote w:id="1">
    <w:p w14:paraId="766DE490" w14:textId="77777777" w:rsidR="001C0F56" w:rsidRDefault="001C0F56" w:rsidP="001C0F56">
      <w:pPr>
        <w:pStyle w:val="Textpoznpodarou"/>
        <w:ind w:left="284" w:hanging="284"/>
      </w:pPr>
      <w:r>
        <w:rPr>
          <w:rStyle w:val="Znakapoznpodarou"/>
        </w:rPr>
        <w:footnoteRef/>
      </w:r>
      <w:r>
        <w:rPr>
          <w:vertAlign w:val="superscript"/>
        </w:rPr>
        <w:t>)</w:t>
      </w:r>
      <w:r>
        <w:rPr>
          <w:rFonts w:eastAsia="Arial Unicode MS" w:hAnsi="Arial Unicode MS"/>
        </w:rPr>
        <w:tab/>
      </w:r>
      <w:r w:rsidRPr="00FE02BC">
        <w:rPr>
          <w:spacing w:val="-2"/>
        </w:rPr>
        <w:t>ČSN EN 10002-1, která přejímala EN 10002-1, byla zrušena z důvodu nahrazení evropské normy normou EN ISO 6892-1</w:t>
      </w:r>
      <w:r w:rsidRPr="007B4EDA">
        <w:t xml:space="preserve"> zavedenou v ČSN EN ISO 6892-</w:t>
      </w:r>
      <w:smartTag w:uri="urn:schemas-microsoft-com:office:smarttags" w:element="metricconverter">
        <w:smartTagPr>
          <w:attr w:name="ProductID" w:val="1 a"/>
        </w:smartTagPr>
        <w:r w:rsidRPr="007B4EDA">
          <w:t>1 a</w:t>
        </w:r>
      </w:smartTag>
      <w:r w:rsidRPr="007B4EDA">
        <w:t xml:space="preserve"> je dos</w:t>
      </w:r>
      <w:r>
        <w:t>tupná v </w:t>
      </w:r>
      <w:r w:rsidR="00A2103F">
        <w:t>zákaznickém</w:t>
      </w:r>
      <w:r>
        <w:t xml:space="preserve"> centru </w:t>
      </w:r>
      <w:r w:rsidR="00A2103F">
        <w:t>ČAS</w:t>
      </w:r>
      <w:r>
        <w:t xml:space="preserve">. </w:t>
      </w:r>
    </w:p>
  </w:footnote>
  <w:footnote w:id="2">
    <w:p w14:paraId="70E65734" w14:textId="77777777" w:rsidR="001C0F56" w:rsidRDefault="001C0F56" w:rsidP="001C0F56">
      <w:pPr>
        <w:pStyle w:val="Textpoznpodarou"/>
        <w:ind w:left="426" w:hanging="426"/>
      </w:pPr>
      <w:r w:rsidRPr="00D516F7">
        <w:rPr>
          <w:vertAlign w:val="superscript"/>
        </w:rPr>
        <w:t>NP</w:t>
      </w:r>
      <w:r>
        <w:rPr>
          <w:vertAlign w:val="superscript"/>
        </w:rPr>
        <w:t xml:space="preserve"> 1</w:t>
      </w:r>
      <w:r w:rsidRPr="00D516F7">
        <w:rPr>
          <w:vertAlign w:val="superscript"/>
        </w:rPr>
        <w:t>)</w:t>
      </w:r>
      <w:r>
        <w:tab/>
      </w:r>
      <w:r w:rsidRPr="00537F07">
        <w:t>NÁRODNÍ POZNÁMKA</w:t>
      </w:r>
      <w:r w:rsidRPr="00537F07">
        <w:rPr>
          <w:rFonts w:eastAsia="Arial Unicode MS" w:hint="eastAsia"/>
        </w:rPr>
        <w:t> </w:t>
      </w:r>
      <w:r>
        <w:rPr>
          <w:rFonts w:eastAsia="Arial Unicode MS"/>
        </w:rPr>
        <w:t>Odkaz na tento článek je v anglické verzi TS chybně vynechán.</w:t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00AC1" w14:textId="77777777" w:rsidR="00F34746" w:rsidRDefault="00000000">
    <w:pPr>
      <w:pStyle w:val="Zhlav"/>
    </w:pPr>
    <w:r>
      <w:rPr>
        <w:noProof/>
      </w:rPr>
      <w:pict w14:anchorId="31A31D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12649" o:spid="_x0000_s1028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A32E0" w14:textId="77777777" w:rsidR="00F34746" w:rsidRDefault="00000000">
    <w:pPr>
      <w:pStyle w:val="Zhlav"/>
      <w:jc w:val="right"/>
    </w:pPr>
    <w:r>
      <w:rPr>
        <w:noProof/>
      </w:rPr>
      <w:pict w14:anchorId="59BE2BE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12650" o:spid="_x0000_s1029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BEE93" w14:textId="77777777" w:rsidR="00A2103F" w:rsidRDefault="00000000">
    <w:pPr>
      <w:pStyle w:val="Zhlav"/>
    </w:pPr>
    <w:r>
      <w:rPr>
        <w:noProof/>
      </w:rPr>
      <w:pict w14:anchorId="6FA6739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12648" o:spid="_x0000_s1027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27259" w14:textId="77777777" w:rsidR="00AE1838" w:rsidRDefault="00000000">
    <w:pPr>
      <w:pStyle w:val="Zhlav"/>
    </w:pPr>
    <w:r>
      <w:rPr>
        <w:noProof/>
      </w:rPr>
      <w:pict w14:anchorId="58DBE3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12652" o:spid="_x0000_s1031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96D4A">
      <w:t>ČSN P CEN/TS 1992-4-1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0132D" w14:textId="77777777" w:rsidR="00AE1838" w:rsidRDefault="00000000">
    <w:pPr>
      <w:pStyle w:val="Zhlav"/>
      <w:jc w:val="right"/>
    </w:pPr>
    <w:r>
      <w:rPr>
        <w:noProof/>
      </w:rPr>
      <w:pict w14:anchorId="06BD9F9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12653" o:spid="_x0000_s1032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296D4A">
      <w:t>ČSN P CEN/TS 1992-4-1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7D3F1" w14:textId="77777777" w:rsidR="00A2103F" w:rsidRDefault="00000000">
    <w:pPr>
      <w:pStyle w:val="Zhlav"/>
    </w:pPr>
    <w:r>
      <w:rPr>
        <w:noProof/>
      </w:rPr>
      <w:pict w14:anchorId="339F041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012651" o:spid="_x0000_s1030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0FC12F7"/>
    <w:multiLevelType w:val="multilevel"/>
    <w:tmpl w:val="0405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F9B04D7"/>
    <w:multiLevelType w:val="hybridMultilevel"/>
    <w:tmpl w:val="CDBC2E88"/>
    <w:lvl w:ilvl="0" w:tplc="FFFFFFFF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828132637">
    <w:abstractNumId w:val="18"/>
  </w:num>
  <w:num w:numId="2" w16cid:durableId="1860969455">
    <w:abstractNumId w:val="14"/>
  </w:num>
  <w:num w:numId="3" w16cid:durableId="355932231">
    <w:abstractNumId w:val="15"/>
  </w:num>
  <w:num w:numId="4" w16cid:durableId="1438791391">
    <w:abstractNumId w:val="9"/>
  </w:num>
  <w:num w:numId="5" w16cid:durableId="1719476152">
    <w:abstractNumId w:val="10"/>
  </w:num>
  <w:num w:numId="6" w16cid:durableId="66610092">
    <w:abstractNumId w:val="22"/>
    <w:lvlOverride w:ilvl="0">
      <w:startOverride w:val="1"/>
    </w:lvlOverride>
  </w:num>
  <w:num w:numId="7" w16cid:durableId="1190802958">
    <w:abstractNumId w:val="11"/>
  </w:num>
  <w:num w:numId="8" w16cid:durableId="524446891">
    <w:abstractNumId w:val="17"/>
  </w:num>
  <w:num w:numId="9" w16cid:durableId="871386335">
    <w:abstractNumId w:val="20"/>
  </w:num>
  <w:num w:numId="10" w16cid:durableId="195122331">
    <w:abstractNumId w:val="16"/>
  </w:num>
  <w:num w:numId="11" w16cid:durableId="563491311">
    <w:abstractNumId w:val="10"/>
    <w:lvlOverride w:ilvl="0">
      <w:startOverride w:val="1"/>
    </w:lvlOverride>
  </w:num>
  <w:num w:numId="12" w16cid:durableId="805977891">
    <w:abstractNumId w:val="22"/>
  </w:num>
  <w:num w:numId="13" w16cid:durableId="1382553041">
    <w:abstractNumId w:val="13"/>
  </w:num>
  <w:num w:numId="14" w16cid:durableId="1355420612">
    <w:abstractNumId w:val="12"/>
  </w:num>
  <w:num w:numId="15" w16cid:durableId="598684437">
    <w:abstractNumId w:val="0"/>
  </w:num>
  <w:num w:numId="16" w16cid:durableId="1564874170">
    <w:abstractNumId w:val="1"/>
  </w:num>
  <w:num w:numId="17" w16cid:durableId="786896717">
    <w:abstractNumId w:val="3"/>
  </w:num>
  <w:num w:numId="18" w16cid:durableId="1918589355">
    <w:abstractNumId w:val="2"/>
  </w:num>
  <w:num w:numId="19" w16cid:durableId="626352508">
    <w:abstractNumId w:val="8"/>
  </w:num>
  <w:num w:numId="20" w16cid:durableId="897864242">
    <w:abstractNumId w:val="7"/>
  </w:num>
  <w:num w:numId="21" w16cid:durableId="565336109">
    <w:abstractNumId w:val="6"/>
  </w:num>
  <w:num w:numId="22" w16cid:durableId="826630751">
    <w:abstractNumId w:val="5"/>
  </w:num>
  <w:num w:numId="23" w16cid:durableId="443621791">
    <w:abstractNumId w:val="4"/>
  </w:num>
  <w:num w:numId="24" w16cid:durableId="24140138">
    <w:abstractNumId w:val="19"/>
  </w:num>
  <w:num w:numId="25" w16cid:durableId="1682657594">
    <w:abstractNumId w:val="2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0F56"/>
    <w:rsid w:val="000D22A5"/>
    <w:rsid w:val="000D7198"/>
    <w:rsid w:val="000D7CC4"/>
    <w:rsid w:val="00103F06"/>
    <w:rsid w:val="00104C1B"/>
    <w:rsid w:val="0013039D"/>
    <w:rsid w:val="00135415"/>
    <w:rsid w:val="001567EF"/>
    <w:rsid w:val="0015730F"/>
    <w:rsid w:val="00176F6F"/>
    <w:rsid w:val="001838A5"/>
    <w:rsid w:val="00186FAF"/>
    <w:rsid w:val="00194A2B"/>
    <w:rsid w:val="001B1B5E"/>
    <w:rsid w:val="001B3344"/>
    <w:rsid w:val="001B63E7"/>
    <w:rsid w:val="001C0F56"/>
    <w:rsid w:val="00210AAE"/>
    <w:rsid w:val="002116DD"/>
    <w:rsid w:val="00231D91"/>
    <w:rsid w:val="0026335D"/>
    <w:rsid w:val="00277086"/>
    <w:rsid w:val="0028489E"/>
    <w:rsid w:val="00296D4A"/>
    <w:rsid w:val="002B25EE"/>
    <w:rsid w:val="002D43DF"/>
    <w:rsid w:val="002F6A9A"/>
    <w:rsid w:val="00314F2D"/>
    <w:rsid w:val="00342659"/>
    <w:rsid w:val="0038646B"/>
    <w:rsid w:val="003C1B09"/>
    <w:rsid w:val="00403D62"/>
    <w:rsid w:val="004069CB"/>
    <w:rsid w:val="00407AA3"/>
    <w:rsid w:val="00412CB3"/>
    <w:rsid w:val="00445C34"/>
    <w:rsid w:val="004A27FE"/>
    <w:rsid w:val="004B1CB1"/>
    <w:rsid w:val="004B223B"/>
    <w:rsid w:val="004B55A7"/>
    <w:rsid w:val="004C5D55"/>
    <w:rsid w:val="004D39AA"/>
    <w:rsid w:val="00503D98"/>
    <w:rsid w:val="00576ED5"/>
    <w:rsid w:val="005B020B"/>
    <w:rsid w:val="005D4093"/>
    <w:rsid w:val="005E3B21"/>
    <w:rsid w:val="005E6EAE"/>
    <w:rsid w:val="00682ECA"/>
    <w:rsid w:val="006A3382"/>
    <w:rsid w:val="006B04C9"/>
    <w:rsid w:val="006D2485"/>
    <w:rsid w:val="00734D06"/>
    <w:rsid w:val="00782CE0"/>
    <w:rsid w:val="007A03BF"/>
    <w:rsid w:val="007C4A20"/>
    <w:rsid w:val="007E23F0"/>
    <w:rsid w:val="007F27A2"/>
    <w:rsid w:val="008072A3"/>
    <w:rsid w:val="00831B2F"/>
    <w:rsid w:val="008638F1"/>
    <w:rsid w:val="00872046"/>
    <w:rsid w:val="00887CA4"/>
    <w:rsid w:val="008A04E8"/>
    <w:rsid w:val="008A7D3C"/>
    <w:rsid w:val="008C03BC"/>
    <w:rsid w:val="008F4369"/>
    <w:rsid w:val="008F51B6"/>
    <w:rsid w:val="0090499A"/>
    <w:rsid w:val="00923E20"/>
    <w:rsid w:val="0093110D"/>
    <w:rsid w:val="00931FE4"/>
    <w:rsid w:val="0095314E"/>
    <w:rsid w:val="00970283"/>
    <w:rsid w:val="009D6FA2"/>
    <w:rsid w:val="009F1FC6"/>
    <w:rsid w:val="009F2E2E"/>
    <w:rsid w:val="00A12852"/>
    <w:rsid w:val="00A178E5"/>
    <w:rsid w:val="00A2103F"/>
    <w:rsid w:val="00A3019F"/>
    <w:rsid w:val="00A82C04"/>
    <w:rsid w:val="00A83EAB"/>
    <w:rsid w:val="00A848B2"/>
    <w:rsid w:val="00A90C34"/>
    <w:rsid w:val="00AB15EC"/>
    <w:rsid w:val="00AE1838"/>
    <w:rsid w:val="00BB7770"/>
    <w:rsid w:val="00BC1FDE"/>
    <w:rsid w:val="00BE31FF"/>
    <w:rsid w:val="00BF01E6"/>
    <w:rsid w:val="00C02793"/>
    <w:rsid w:val="00C02CD7"/>
    <w:rsid w:val="00C2107C"/>
    <w:rsid w:val="00C40B75"/>
    <w:rsid w:val="00C43BC8"/>
    <w:rsid w:val="00C57901"/>
    <w:rsid w:val="00C904AB"/>
    <w:rsid w:val="00D265EA"/>
    <w:rsid w:val="00D53D67"/>
    <w:rsid w:val="00D54402"/>
    <w:rsid w:val="00D64213"/>
    <w:rsid w:val="00D85849"/>
    <w:rsid w:val="00DA1989"/>
    <w:rsid w:val="00DE2529"/>
    <w:rsid w:val="00DE412B"/>
    <w:rsid w:val="00E0245C"/>
    <w:rsid w:val="00E20AA5"/>
    <w:rsid w:val="00E22981"/>
    <w:rsid w:val="00E35A0F"/>
    <w:rsid w:val="00E4434D"/>
    <w:rsid w:val="00E54908"/>
    <w:rsid w:val="00EB1FEE"/>
    <w:rsid w:val="00EB5B63"/>
    <w:rsid w:val="00F26A09"/>
    <w:rsid w:val="00F34746"/>
    <w:rsid w:val="00F415E7"/>
    <w:rsid w:val="00F63141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2847444C"/>
  <w15:chartTrackingRefBased/>
  <w15:docId w15:val="{E6EA7995-2F15-48EB-9D10-8008FC30F0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407AA3"/>
  </w:style>
  <w:style w:type="paragraph" w:styleId="Nadpis1">
    <w:name w:val="heading 1"/>
    <w:basedOn w:val="Nadpiskapitoly"/>
    <w:next w:val="Textnormy"/>
    <w:link w:val="Nadpis1Char"/>
    <w:qFormat/>
    <w:rsid w:val="00407AA3"/>
    <w:pPr>
      <w:outlineLvl w:val="0"/>
    </w:pPr>
  </w:style>
  <w:style w:type="paragraph" w:styleId="Nadpis2">
    <w:name w:val="heading 2"/>
    <w:basedOn w:val="Nadpislnku"/>
    <w:next w:val="Textnormy"/>
    <w:qFormat/>
    <w:rsid w:val="00407AA3"/>
    <w:pPr>
      <w:outlineLvl w:val="1"/>
    </w:pPr>
  </w:style>
  <w:style w:type="paragraph" w:styleId="Nadpis3">
    <w:name w:val="heading 3"/>
    <w:basedOn w:val="Nadpislnku"/>
    <w:next w:val="Textnormy"/>
    <w:qFormat/>
    <w:rsid w:val="00407AA3"/>
    <w:pPr>
      <w:outlineLvl w:val="2"/>
    </w:pPr>
  </w:style>
  <w:style w:type="paragraph" w:styleId="Nadpis4">
    <w:name w:val="heading 4"/>
    <w:basedOn w:val="Nadpislnku"/>
    <w:next w:val="Textnormy"/>
    <w:qFormat/>
    <w:rsid w:val="00407AA3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407AA3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407AA3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407AA3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407AA3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407AA3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407AA3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407AA3"/>
  </w:style>
  <w:style w:type="paragraph" w:customStyle="1" w:styleId="Nadpiskapitoly">
    <w:name w:val="Nadpis kapitoly"/>
    <w:basedOn w:val="Nadpislnku"/>
    <w:next w:val="Textnormy"/>
    <w:rsid w:val="00407AA3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407AA3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407AA3"/>
    <w:pPr>
      <w:spacing w:after="120"/>
      <w:jc w:val="both"/>
    </w:pPr>
  </w:style>
  <w:style w:type="paragraph" w:customStyle="1" w:styleId="1StrTrZn">
    <w:name w:val="1StrTrZn"/>
    <w:basedOn w:val="Textnormy"/>
    <w:rsid w:val="00407AA3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407AA3"/>
    <w:pPr>
      <w:spacing w:before="480"/>
    </w:pPr>
  </w:style>
  <w:style w:type="paragraph" w:customStyle="1" w:styleId="1StrNN-1-23">
    <w:name w:val="1StrNN-1-23"/>
    <w:basedOn w:val="Textnormy"/>
    <w:rsid w:val="00407AA3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407AA3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407AA3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407AA3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407AA3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407AA3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407AA3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407AA3"/>
    <w:pPr>
      <w:spacing w:before="0" w:after="120"/>
      <w:ind w:left="284" w:hanging="284"/>
    </w:pPr>
  </w:style>
  <w:style w:type="paragraph" w:styleId="Zhlav">
    <w:name w:val="header"/>
    <w:basedOn w:val="Textnormy"/>
    <w:rsid w:val="00407AA3"/>
    <w:pPr>
      <w:spacing w:after="360"/>
    </w:pPr>
    <w:rPr>
      <w:sz w:val="18"/>
    </w:rPr>
  </w:style>
  <w:style w:type="paragraph" w:styleId="Zpat">
    <w:name w:val="footer"/>
    <w:basedOn w:val="Textnormy"/>
    <w:rsid w:val="00407AA3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407AA3"/>
    <w:pPr>
      <w:spacing w:after="120"/>
    </w:pPr>
  </w:style>
  <w:style w:type="paragraph" w:styleId="Obsah2">
    <w:name w:val="toc 2"/>
    <w:basedOn w:val="Obsah1"/>
    <w:next w:val="Textnormy"/>
    <w:uiPriority w:val="39"/>
    <w:rsid w:val="00407AA3"/>
  </w:style>
  <w:style w:type="paragraph" w:styleId="Obsah1">
    <w:name w:val="toc 1"/>
    <w:basedOn w:val="Textnormy"/>
    <w:next w:val="Textnormy"/>
    <w:uiPriority w:val="39"/>
    <w:rsid w:val="00407AA3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407AA3"/>
    <w:pPr>
      <w:numPr>
        <w:numId w:val="7"/>
      </w:numPr>
    </w:pPr>
  </w:style>
  <w:style w:type="paragraph" w:styleId="Obsah3">
    <w:name w:val="toc 3"/>
    <w:basedOn w:val="Obsah1"/>
    <w:next w:val="Textnormy"/>
    <w:rsid w:val="00407AA3"/>
  </w:style>
  <w:style w:type="paragraph" w:styleId="Obsah4">
    <w:name w:val="toc 4"/>
    <w:basedOn w:val="Obsah1"/>
    <w:next w:val="Textnormy"/>
    <w:uiPriority w:val="39"/>
    <w:rsid w:val="00407AA3"/>
  </w:style>
  <w:style w:type="paragraph" w:styleId="Obsah6">
    <w:name w:val="toc 6"/>
    <w:basedOn w:val="Obsah1"/>
    <w:next w:val="Textnormy"/>
    <w:rsid w:val="00407AA3"/>
  </w:style>
  <w:style w:type="paragraph" w:styleId="Obsah7">
    <w:name w:val="toc 7"/>
    <w:basedOn w:val="Obsah1"/>
    <w:next w:val="Textnormy"/>
    <w:semiHidden/>
    <w:rsid w:val="00407AA3"/>
  </w:style>
  <w:style w:type="paragraph" w:styleId="Obsah8">
    <w:name w:val="toc 8"/>
    <w:basedOn w:val="Obsah1"/>
    <w:next w:val="Textnormy"/>
    <w:semiHidden/>
    <w:rsid w:val="00407AA3"/>
  </w:style>
  <w:style w:type="character" w:styleId="Znakapoznpodarou">
    <w:name w:val="footnote reference"/>
    <w:basedOn w:val="Standardnpsmoodstavce"/>
    <w:rsid w:val="00407AA3"/>
    <w:rPr>
      <w:vertAlign w:val="superscript"/>
    </w:rPr>
  </w:style>
  <w:style w:type="paragraph" w:customStyle="1" w:styleId="ABCseznamCZ">
    <w:name w:val="ABC seznamCZ"/>
    <w:basedOn w:val="Textnormy"/>
    <w:rsid w:val="00407AA3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407AA3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link w:val="SeznamvnormChar"/>
    <w:rsid w:val="00407AA3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407AA3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1C0F56"/>
    <w:pPr>
      <w:keepNext w:val="0"/>
      <w:jc w:val="center"/>
    </w:pPr>
  </w:style>
  <w:style w:type="paragraph" w:customStyle="1" w:styleId="Abecednseznam">
    <w:name w:val="Abecední seznam"/>
    <w:basedOn w:val="Textnormy"/>
    <w:rsid w:val="00407AA3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407AA3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407AA3"/>
    <w:pPr>
      <w:ind w:left="1600"/>
    </w:pPr>
  </w:style>
  <w:style w:type="paragraph" w:customStyle="1" w:styleId="1Str1Rad">
    <w:name w:val="1Str1Rad"/>
    <w:basedOn w:val="Textnormy"/>
    <w:rsid w:val="00407AA3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407AA3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407AA3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407AA3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407AA3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407AA3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407AA3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407AA3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407AA3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407AA3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407AA3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407AA3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407AA3"/>
    <w:pPr>
      <w:spacing w:before="300"/>
    </w:pPr>
  </w:style>
  <w:style w:type="paragraph" w:customStyle="1" w:styleId="1StrNN-X">
    <w:name w:val="1StrNN-X"/>
    <w:basedOn w:val="1StrNN-1-23"/>
    <w:rsid w:val="00407AA3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407AA3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407AA3"/>
    <w:pPr>
      <w:spacing w:before="800"/>
    </w:pPr>
  </w:style>
  <w:style w:type="paragraph" w:customStyle="1" w:styleId="1StrNN-2-4">
    <w:name w:val="1StrNN-2-4"/>
    <w:basedOn w:val="1StrNN-1-23"/>
    <w:rsid w:val="00407AA3"/>
  </w:style>
  <w:style w:type="paragraph" w:customStyle="1" w:styleId="1StrNN-3-4">
    <w:name w:val="1StrNN-3-4"/>
    <w:basedOn w:val="1StrNN-1-23"/>
    <w:rsid w:val="00407AA3"/>
    <w:pPr>
      <w:spacing w:before="460"/>
    </w:pPr>
  </w:style>
  <w:style w:type="paragraph" w:customStyle="1" w:styleId="1StrNN-4-4">
    <w:name w:val="1StrNN-4-4"/>
    <w:basedOn w:val="1StrNN-1-23"/>
    <w:rsid w:val="00407AA3"/>
    <w:pPr>
      <w:spacing w:before="340"/>
    </w:pPr>
  </w:style>
  <w:style w:type="paragraph" w:customStyle="1" w:styleId="ABCSeznamUS">
    <w:name w:val="ABC SeznamUS"/>
    <w:basedOn w:val="Textnormy"/>
    <w:rsid w:val="00407AA3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407AA3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407AA3"/>
    <w:pPr>
      <w:jc w:val="left"/>
    </w:pPr>
  </w:style>
  <w:style w:type="paragraph" w:customStyle="1" w:styleId="1StrNN-4-3">
    <w:name w:val="1StrNN-4-3"/>
    <w:basedOn w:val="1StrNN-1-23"/>
    <w:rsid w:val="00407AA3"/>
    <w:pPr>
      <w:spacing w:before="160"/>
    </w:pPr>
  </w:style>
  <w:style w:type="paragraph" w:customStyle="1" w:styleId="Upozornn">
    <w:name w:val="Upozornění"/>
    <w:basedOn w:val="Normln"/>
    <w:rsid w:val="00407AA3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407AA3"/>
  </w:style>
  <w:style w:type="character" w:styleId="Hypertextovodkaz">
    <w:name w:val="Hyperlink"/>
    <w:unhideWhenUsed/>
    <w:rsid w:val="00407AA3"/>
    <w:rPr>
      <w:color w:val="0000FF"/>
      <w:u w:val="single"/>
    </w:rPr>
  </w:style>
  <w:style w:type="table" w:styleId="Mkatabulky">
    <w:name w:val="Table Grid"/>
    <w:basedOn w:val="Normlntabulka"/>
    <w:rsid w:val="00407A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407AA3"/>
    <w:rPr>
      <w:b/>
      <w:sz w:val="24"/>
    </w:rPr>
  </w:style>
  <w:style w:type="character" w:styleId="Odkaznakoment">
    <w:name w:val="annotation reference"/>
    <w:basedOn w:val="Standardnpsmoodstavce"/>
    <w:unhideWhenUsed/>
    <w:rsid w:val="00407AA3"/>
    <w:rPr>
      <w:sz w:val="16"/>
      <w:szCs w:val="16"/>
    </w:rPr>
  </w:style>
  <w:style w:type="paragraph" w:styleId="Textbubliny">
    <w:name w:val="Balloon Text"/>
    <w:basedOn w:val="Normln"/>
    <w:link w:val="TextbublinyChar"/>
    <w:rsid w:val="00407AA3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28489E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407AA3"/>
  </w:style>
  <w:style w:type="character" w:customStyle="1" w:styleId="TextkomenteChar">
    <w:name w:val="Text komentáře Char"/>
    <w:basedOn w:val="Standardnpsmoodstavce"/>
    <w:link w:val="Textkomente"/>
    <w:rsid w:val="00407AA3"/>
  </w:style>
  <w:style w:type="character" w:customStyle="1" w:styleId="TextnormyCharChar">
    <w:name w:val="Text normy Char Char"/>
    <w:semiHidden/>
    <w:rsid w:val="00407AA3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407AA3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407AA3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407AA3"/>
    <w:rPr>
      <w:b/>
      <w:bCs/>
    </w:rPr>
  </w:style>
  <w:style w:type="character" w:customStyle="1" w:styleId="NadpislnkuChar">
    <w:name w:val="Nadpis článku Char"/>
    <w:link w:val="Nadpislnku"/>
    <w:rsid w:val="00407AA3"/>
    <w:rPr>
      <w:b/>
    </w:rPr>
  </w:style>
  <w:style w:type="character" w:styleId="Sledovanodkaz">
    <w:name w:val="FollowedHyperlink"/>
    <w:basedOn w:val="Standardnpsmoodstavce"/>
    <w:semiHidden/>
    <w:unhideWhenUsed/>
    <w:rsid w:val="00407AA3"/>
    <w:rPr>
      <w:color w:val="954F72" w:themeColor="followedHyperlink"/>
      <w:u w:val="single"/>
    </w:rPr>
  </w:style>
  <w:style w:type="character" w:customStyle="1" w:styleId="NadpislnkuChar1">
    <w:name w:val="Nadpis článku Char1"/>
    <w:rsid w:val="001C0F56"/>
    <w:rPr>
      <w:rFonts w:ascii="Arial" w:hAnsi="Arial"/>
      <w:b/>
      <w:lang w:val="cs-CZ" w:eastAsia="cs-CZ" w:bidi="ar-SA"/>
    </w:rPr>
  </w:style>
  <w:style w:type="numbering" w:styleId="111111">
    <w:name w:val="Outline List 2"/>
    <w:basedOn w:val="Bezseznamu"/>
    <w:rsid w:val="001C0F56"/>
    <w:pPr>
      <w:numPr>
        <w:numId w:val="8"/>
      </w:numPr>
    </w:pPr>
  </w:style>
  <w:style w:type="character" w:customStyle="1" w:styleId="SeznamvnormChar">
    <w:name w:val="Seznam v normě Char"/>
    <w:link w:val="Seznamvnorm"/>
    <w:rsid w:val="001C0F56"/>
  </w:style>
  <w:style w:type="character" w:customStyle="1" w:styleId="PoznmkaChar">
    <w:name w:val="Poznámka Char"/>
    <w:link w:val="Poznmka"/>
    <w:rsid w:val="001C0F56"/>
    <w:rPr>
      <w:sz w:val="18"/>
    </w:rPr>
  </w:style>
  <w:style w:type="paragraph" w:customStyle="1" w:styleId="NadpisObr">
    <w:name w:val="NadpisObr"/>
    <w:basedOn w:val="Nadpis4"/>
    <w:next w:val="Textnormy"/>
    <w:qFormat/>
    <w:rsid w:val="00407AA3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407AA3"/>
    <w:pPr>
      <w:jc w:val="center"/>
    </w:pPr>
  </w:style>
  <w:style w:type="character" w:customStyle="1" w:styleId="cf01">
    <w:name w:val="cf01"/>
    <w:basedOn w:val="Standardnpsmoodstavce"/>
    <w:rsid w:val="00407AA3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2.emf"/><Relationship Id="rId10" Type="http://schemas.openxmlformats.org/officeDocument/2006/relationships/footer" Target="footer2.xml"/><Relationship Id="rId19" Type="http://schemas.openxmlformats.org/officeDocument/2006/relationships/footer" Target="footer5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15</TotalTime>
  <Pages>9</Pages>
  <Words>1703</Words>
  <Characters>10050</Characters>
  <Application>Microsoft Office Word</Application>
  <DocSecurity>0</DocSecurity>
  <Lines>83</Lines>
  <Paragraphs>23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9</cp:revision>
  <cp:lastPrinted>2004-12-14T08:45:00Z</cp:lastPrinted>
  <dcterms:created xsi:type="dcterms:W3CDTF">2024-01-09T08:51:00Z</dcterms:created>
  <dcterms:modified xsi:type="dcterms:W3CDTF">2025-07-04T08:50:00Z</dcterms:modified>
</cp:coreProperties>
</file>