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97CA9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2F1B497" wp14:editId="5DA9B615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ED20F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75E06CEE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215156" w:rsidRPr="000F125A">
        <w:rPr>
          <w:sz w:val="16"/>
        </w:rPr>
        <w:t>91.100.30</w:t>
      </w:r>
      <w:r>
        <w:tab/>
      </w:r>
      <w:r>
        <w:tab/>
      </w:r>
      <w:r>
        <w:rPr>
          <w:b/>
        </w:rPr>
        <w:t xml:space="preserve">Měsíc </w:t>
      </w:r>
      <w:r w:rsidR="00215156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48016362" w14:textId="77777777">
        <w:trPr>
          <w:cantSplit/>
          <w:trHeight w:val="1701"/>
        </w:trPr>
        <w:tc>
          <w:tcPr>
            <w:tcW w:w="7371" w:type="dxa"/>
          </w:tcPr>
          <w:p w14:paraId="3DBFEB4F" w14:textId="77777777" w:rsidR="00A83EAB" w:rsidRDefault="00215156" w:rsidP="000B0C3F">
            <w:pPr>
              <w:pStyle w:val="1StrNN-2-23"/>
            </w:pPr>
            <w:r w:rsidRPr="000F125A">
              <w:t>Beton –</w:t>
            </w:r>
            <w:r w:rsidRPr="000F125A">
              <w:br/>
              <w:t>Část 1: Specifikace, vlastnosti, výroba a shod</w:t>
            </w:r>
            <w:r>
              <w:t>a</w:t>
            </w:r>
          </w:p>
        </w:tc>
        <w:tc>
          <w:tcPr>
            <w:tcW w:w="2552" w:type="dxa"/>
          </w:tcPr>
          <w:p w14:paraId="06B3117D" w14:textId="77777777" w:rsidR="00215156" w:rsidRPr="000F125A" w:rsidRDefault="00215156" w:rsidP="00215156">
            <w:pPr>
              <w:pStyle w:val="1StrCN"/>
            </w:pPr>
            <w:r w:rsidRPr="000F125A">
              <w:t>ČSN</w:t>
            </w:r>
            <w:r w:rsidRPr="000F125A">
              <w:br/>
              <w:t>EN 206-1</w:t>
            </w:r>
            <w:r w:rsidRPr="000F125A">
              <w:br/>
              <w:t>ZMĚNA Z2</w:t>
            </w:r>
          </w:p>
          <w:p w14:paraId="1EB2AF72" w14:textId="77777777" w:rsidR="00A83EAB" w:rsidRDefault="00215156" w:rsidP="00215156">
            <w:pPr>
              <w:pStyle w:val="1StrTrZn"/>
            </w:pPr>
            <w:r w:rsidRPr="000F125A">
              <w:t>73 2403</w:t>
            </w:r>
          </w:p>
        </w:tc>
      </w:tr>
    </w:tbl>
    <w:p w14:paraId="784E7E90" w14:textId="77777777" w:rsidR="00A83EAB" w:rsidRDefault="00A83EAB">
      <w:pPr>
        <w:pStyle w:val="Shodnost"/>
      </w:pPr>
    </w:p>
    <w:p w14:paraId="765A63F4" w14:textId="77777777" w:rsidR="000B0C3F" w:rsidRDefault="000B0C3F" w:rsidP="000B0C3F">
      <w:pPr>
        <w:pStyle w:val="Cizojazynnzev0"/>
      </w:pPr>
      <w:r>
        <w:t>Amendment</w:t>
      </w:r>
    </w:p>
    <w:p w14:paraId="04B97B69" w14:textId="77777777" w:rsidR="000B0C3F" w:rsidRDefault="000B0C3F" w:rsidP="000B0C3F">
      <w:pPr>
        <w:pStyle w:val="Cizojazynnzev0"/>
      </w:pPr>
      <w:r>
        <w:t>Amendement</w:t>
      </w:r>
    </w:p>
    <w:p w14:paraId="5AC010AF" w14:textId="77777777" w:rsidR="000B0C3F" w:rsidRPr="00107343" w:rsidRDefault="000B0C3F" w:rsidP="000B0C3F">
      <w:pPr>
        <w:pStyle w:val="Cizojazynnzev"/>
        <w:spacing w:after="840"/>
        <w:rPr>
          <w:lang w:val="cs-CZ"/>
        </w:rPr>
      </w:pPr>
      <w:r>
        <w:t>Änderung</w:t>
      </w:r>
      <w:r w:rsidRPr="00107343" w:rsidDel="00E255C4">
        <w:rPr>
          <w:lang w:val="cs-CZ"/>
        </w:rPr>
        <w:t xml:space="preserve"> </w:t>
      </w:r>
    </w:p>
    <w:p w14:paraId="154CE37E" w14:textId="46E49D7E" w:rsidR="000B0C3F" w:rsidRPr="000F125A" w:rsidRDefault="000B0C3F" w:rsidP="000B0C3F">
      <w:pPr>
        <w:pStyle w:val="Textnormy1str"/>
        <w:jc w:val="both"/>
      </w:pPr>
      <w:r w:rsidRPr="000F125A">
        <w:rPr>
          <w:b/>
        </w:rPr>
        <w:t>ČSN</w:t>
      </w:r>
      <w:r>
        <w:rPr>
          <w:b/>
        </w:rPr>
        <w:t> </w:t>
      </w:r>
      <w:r w:rsidRPr="000F125A">
        <w:rPr>
          <w:b/>
        </w:rPr>
        <w:t>EN</w:t>
      </w:r>
      <w:r>
        <w:rPr>
          <w:b/>
        </w:rPr>
        <w:t> </w:t>
      </w:r>
      <w:r w:rsidRPr="000F125A">
        <w:rPr>
          <w:b/>
        </w:rPr>
        <w:t xml:space="preserve">206-1 </w:t>
      </w:r>
      <w:r>
        <w:rPr>
          <w:b/>
        </w:rPr>
        <w:t>(73</w:t>
      </w:r>
      <w:r w:rsidR="009C6219">
        <w:rPr>
          <w:b/>
        </w:rPr>
        <w:t> </w:t>
      </w:r>
      <w:r>
        <w:rPr>
          <w:b/>
        </w:rPr>
        <w:t xml:space="preserve">2403) </w:t>
      </w:r>
      <w:r w:rsidRPr="000F125A">
        <w:rPr>
          <w:b/>
        </w:rPr>
        <w:t>Beton – Část</w:t>
      </w:r>
      <w:r>
        <w:rPr>
          <w:b/>
        </w:rPr>
        <w:t> </w:t>
      </w:r>
      <w:r w:rsidRPr="000F125A">
        <w:rPr>
          <w:b/>
        </w:rPr>
        <w:t>1: Specifikace, vlastnosti, výroba a shoda</w:t>
      </w:r>
      <w:r w:rsidRPr="000F125A">
        <w:t xml:space="preserve"> ze září 2001 se mění takto:</w:t>
      </w:r>
    </w:p>
    <w:p w14:paraId="41C00B0D" w14:textId="77777777" w:rsidR="000B0C3F" w:rsidRPr="000F125A" w:rsidRDefault="000B0C3F" w:rsidP="000B0C3F">
      <w:pPr>
        <w:pStyle w:val="Textnormy1str"/>
        <w:spacing w:before="120"/>
        <w:rPr>
          <w:i/>
        </w:rPr>
      </w:pPr>
      <w:r w:rsidRPr="000F125A">
        <w:rPr>
          <w:i/>
        </w:rPr>
        <w:t>Na titulní stránce se článek Nahrazení předchozích norem doplňuje takto:</w:t>
      </w:r>
    </w:p>
    <w:p w14:paraId="7F74C6FD" w14:textId="77777777" w:rsidR="000B0C3F" w:rsidRPr="000B0C3F" w:rsidRDefault="000B0C3F" w:rsidP="000B0C3F">
      <w:pPr>
        <w:pStyle w:val="Textnormy"/>
      </w:pPr>
      <w:r w:rsidRPr="000B0C3F">
        <w:t>Touto normou se nahrazují ČSN 73 1214 z 1983-02-11, ČSN 73 1215 z 1983-02-11, ČSN 73 1216 z 1986-12-08 a dále se touto normou společně s ČSN P ENV 13670-1 (73 2400) z července 2001 nahrazují ČSN 73 1209 z 1985-06-05 a ČSN 73 2400 z 1986-06-30.</w:t>
      </w:r>
    </w:p>
    <w:p w14:paraId="3E02CCE0" w14:textId="77777777" w:rsidR="000B0C3F" w:rsidRPr="000B0C3F" w:rsidRDefault="000B0C3F" w:rsidP="000B0C3F">
      <w:pPr>
        <w:pStyle w:val="Textnormy1str"/>
        <w:spacing w:before="120"/>
        <w:rPr>
          <w:i/>
        </w:rPr>
      </w:pPr>
      <w:r w:rsidRPr="000B0C3F">
        <w:rPr>
          <w:i/>
        </w:rPr>
        <w:t>Text článku Změny proti předchozím normám se doplňuje takto:</w:t>
      </w:r>
    </w:p>
    <w:p w14:paraId="0C7A75AF" w14:textId="77777777" w:rsidR="000B0C3F" w:rsidRPr="000B0C3F" w:rsidRDefault="000B0C3F" w:rsidP="000B0C3F">
      <w:pPr>
        <w:pStyle w:val="Textnormy"/>
        <w:rPr>
          <w:i/>
        </w:rPr>
      </w:pPr>
      <w:r w:rsidRPr="000B0C3F">
        <w:t>Normy ČSN 73 1209, ČSN 73 1214, ČSN 73 1215, ČSN 73 1216 a ČSN 73 2400 užívají klasifikaci agresivity prostředí pro betonové konstrukce a označení pro betony a pro jejich vlastnosti, které je v rozporu s touto normou. Dále obsahují řadu technických údajů, které jsou vzhledem k současnému stavu a možnostem moderních technologií a materiálů překonané a zastaralé.</w:t>
      </w:r>
    </w:p>
    <w:p w14:paraId="510178EA" w14:textId="77777777" w:rsidR="000B0C3F" w:rsidRPr="000F125A" w:rsidRDefault="000B0C3F" w:rsidP="000B0C3F">
      <w:pPr>
        <w:pStyle w:val="Textnormy1str"/>
        <w:spacing w:before="120"/>
        <w:rPr>
          <w:i/>
        </w:rPr>
      </w:pPr>
      <w:r w:rsidRPr="000F125A">
        <w:rPr>
          <w:i/>
        </w:rPr>
        <w:t xml:space="preserve">Za článek </w:t>
      </w:r>
      <w:r w:rsidRPr="00BE146E">
        <w:rPr>
          <w:i/>
        </w:rPr>
        <w:t>Informace o citovaných dokumentech</w:t>
      </w:r>
      <w:r w:rsidRPr="000F125A">
        <w:rPr>
          <w:i/>
        </w:rPr>
        <w:t xml:space="preserve"> se doplňuje článek </w:t>
      </w:r>
      <w:r w:rsidRPr="000F125A">
        <w:t>Souvisící ČSN</w:t>
      </w:r>
      <w:r w:rsidRPr="000F125A">
        <w:rPr>
          <w:i/>
        </w:rPr>
        <w:t xml:space="preserve"> takto:</w:t>
      </w:r>
    </w:p>
    <w:p w14:paraId="408887A4" w14:textId="77777777" w:rsidR="000B0C3F" w:rsidRPr="000F125A" w:rsidRDefault="000B0C3F" w:rsidP="000B0C3F">
      <w:pPr>
        <w:pStyle w:val="Nadpislnku"/>
      </w:pPr>
      <w:r w:rsidRPr="000F125A">
        <w:t>Souvisící ČSN</w:t>
      </w:r>
    </w:p>
    <w:p w14:paraId="50C8883A" w14:textId="77777777" w:rsidR="000B0C3F" w:rsidRPr="000F125A" w:rsidRDefault="000B0C3F" w:rsidP="000B0C3F">
      <w:pPr>
        <w:pStyle w:val="Textnormy1str"/>
        <w:rPr>
          <w:rFonts w:cs="Arial"/>
        </w:rPr>
      </w:pPr>
      <w:r w:rsidRPr="000F125A">
        <w:rPr>
          <w:rFonts w:cs="Arial"/>
        </w:rPr>
        <w:t>ČSN</w:t>
      </w:r>
      <w:r>
        <w:rPr>
          <w:rFonts w:cs="Arial"/>
        </w:rPr>
        <w:t> </w:t>
      </w:r>
      <w:r w:rsidRPr="000F125A">
        <w:rPr>
          <w:rFonts w:cs="Arial"/>
        </w:rPr>
        <w:t>72</w:t>
      </w:r>
      <w:r>
        <w:rPr>
          <w:rFonts w:cs="Arial"/>
        </w:rPr>
        <w:t> </w:t>
      </w:r>
      <w:r w:rsidRPr="000F125A">
        <w:rPr>
          <w:rFonts w:cs="Arial"/>
        </w:rPr>
        <w:t>1160</w:t>
      </w:r>
      <w:r w:rsidRPr="000F125A">
        <w:rPr>
          <w:rFonts w:eastAsia="Arial Unicode MS" w:hAnsi="Arial Unicode MS" w:cs="Arial"/>
        </w:rPr>
        <w:t> </w:t>
      </w:r>
      <w:r w:rsidRPr="000F125A">
        <w:rPr>
          <w:rFonts w:cs="Arial"/>
        </w:rPr>
        <w:t>Stanovenie alkalickej rozpínavosti prírodného stavebného uhličitanového kameňa</w:t>
      </w:r>
    </w:p>
    <w:p w14:paraId="381EF742" w14:textId="77777777" w:rsidR="000B0C3F" w:rsidRPr="000F125A" w:rsidRDefault="000B0C3F" w:rsidP="000B0C3F">
      <w:pPr>
        <w:pStyle w:val="Textnormy1str"/>
        <w:rPr>
          <w:rFonts w:cs="Arial"/>
        </w:rPr>
      </w:pPr>
      <w:r w:rsidRPr="000F125A">
        <w:rPr>
          <w:rFonts w:cs="Arial"/>
        </w:rPr>
        <w:t>ČSN</w:t>
      </w:r>
      <w:r>
        <w:rPr>
          <w:rFonts w:cs="Arial"/>
        </w:rPr>
        <w:t> </w:t>
      </w:r>
      <w:r w:rsidRPr="000F125A">
        <w:rPr>
          <w:rFonts w:cs="Arial"/>
        </w:rPr>
        <w:t>72</w:t>
      </w:r>
      <w:r>
        <w:rPr>
          <w:rFonts w:cs="Arial"/>
        </w:rPr>
        <w:t> </w:t>
      </w:r>
      <w:r w:rsidRPr="000F125A">
        <w:rPr>
          <w:rFonts w:cs="Arial"/>
        </w:rPr>
        <w:t>1179</w:t>
      </w:r>
      <w:r w:rsidRPr="000F125A">
        <w:rPr>
          <w:rFonts w:eastAsia="Arial Unicode MS" w:hAnsi="Arial Unicode MS" w:cs="Arial"/>
        </w:rPr>
        <w:t> </w:t>
      </w:r>
      <w:r w:rsidRPr="000F125A">
        <w:rPr>
          <w:rFonts w:cs="Arial"/>
        </w:rPr>
        <w:t>Stanovení reaktivnosti kameniva s alkáliemi</w:t>
      </w:r>
    </w:p>
    <w:p w14:paraId="17005ED1" w14:textId="77777777" w:rsidR="000B0C3F" w:rsidRPr="000F125A" w:rsidRDefault="000B0C3F" w:rsidP="000B0C3F">
      <w:pPr>
        <w:pStyle w:val="Textnormy1str"/>
        <w:rPr>
          <w:rFonts w:cs="Arial"/>
        </w:rPr>
      </w:pPr>
      <w:r w:rsidRPr="000F125A">
        <w:rPr>
          <w:rFonts w:cs="Arial"/>
        </w:rPr>
        <w:t>ČSN</w:t>
      </w:r>
      <w:r>
        <w:rPr>
          <w:rFonts w:cs="Arial"/>
        </w:rPr>
        <w:t> </w:t>
      </w:r>
      <w:r w:rsidRPr="000F125A">
        <w:rPr>
          <w:rFonts w:cs="Arial"/>
        </w:rPr>
        <w:t>72 2103</w:t>
      </w:r>
      <w:r w:rsidRPr="000F125A">
        <w:rPr>
          <w:rFonts w:eastAsia="Arial Unicode MS" w:hAnsi="Arial Unicode MS" w:cs="Arial"/>
        </w:rPr>
        <w:t> </w:t>
      </w:r>
      <w:r w:rsidRPr="000F125A">
        <w:rPr>
          <w:rFonts w:cs="Arial"/>
        </w:rPr>
        <w:t>Cement síranovzdorný – Složení, specifikace a kritéria shody</w:t>
      </w:r>
    </w:p>
    <w:p w14:paraId="0442487A" w14:textId="77777777" w:rsidR="000B0C3F" w:rsidRPr="000F125A" w:rsidRDefault="000B0C3F" w:rsidP="000B0C3F">
      <w:pPr>
        <w:pStyle w:val="Textnormy"/>
        <w:spacing w:before="120"/>
      </w:pPr>
      <w:r w:rsidRPr="000F125A">
        <w:rPr>
          <w:rFonts w:cs="Arial"/>
          <w:i/>
        </w:rPr>
        <w:t xml:space="preserve">Znění národní přílohy NA ve Změně Z1 se nahrazuje tímto </w:t>
      </w:r>
      <w:r>
        <w:rPr>
          <w:rFonts w:cs="Arial"/>
          <w:i/>
        </w:rPr>
        <w:t xml:space="preserve">novým </w:t>
      </w:r>
      <w:r w:rsidRPr="000F125A">
        <w:rPr>
          <w:rFonts w:cs="Arial"/>
          <w:i/>
        </w:rPr>
        <w:t>zněním:</w:t>
      </w:r>
    </w:p>
    <w:p w14:paraId="0F652953" w14:textId="77777777" w:rsidR="00A83EAB" w:rsidRDefault="00A83EAB">
      <w:pPr>
        <w:pStyle w:val="Textnormy"/>
        <w:tabs>
          <w:tab w:val="right" w:pos="9923"/>
        </w:tabs>
      </w:pPr>
    </w:p>
    <w:p w14:paraId="36EF1B5C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0DF979D5" w14:textId="77777777" w:rsidR="000B0C3F" w:rsidRPr="000F125A" w:rsidRDefault="000B0C3F" w:rsidP="000B0C3F">
      <w:pPr>
        <w:pStyle w:val="Nadpiskapitoly"/>
        <w:spacing w:before="0"/>
      </w:pPr>
      <w:r w:rsidRPr="000F125A">
        <w:lastRenderedPageBreak/>
        <w:t>Doplňující ustanovení</w:t>
      </w:r>
    </w:p>
    <w:p w14:paraId="36C398F3" w14:textId="77777777" w:rsidR="000B0C3F" w:rsidRPr="00973C29" w:rsidRDefault="000B0C3F" w:rsidP="000B0C3F">
      <w:pPr>
        <w:pStyle w:val="Nadpis2"/>
      </w:pPr>
      <w:bookmarkStart w:id="0" w:name="_Toc38779985"/>
      <w:r w:rsidRPr="000F125A">
        <w:t>NA.</w:t>
      </w:r>
      <w:bookmarkEnd w:id="0"/>
      <w:r w:rsidRPr="000F125A">
        <w:t>1</w:t>
      </w:r>
      <w:r w:rsidRPr="000F125A">
        <w:rPr>
          <w:rFonts w:ascii="Arial Unicode MS" w:eastAsia="Arial Unicode MS" w:hAnsi="Arial Unicode MS" w:cs="Arial Unicode MS" w:hint="eastAsia"/>
        </w:rPr>
        <w:t> </w:t>
      </w:r>
      <w:r w:rsidRPr="000F125A">
        <w:t>Článek 3.2 Značky a zkratky se doplňuje o</w:t>
      </w:r>
      <w:r w:rsidRPr="00973C29">
        <w:t>:</w:t>
      </w:r>
    </w:p>
    <w:p w14:paraId="08CF8171" w14:textId="77777777" w:rsidR="000B0C3F" w:rsidRPr="000F125A" w:rsidRDefault="000B0C3F" w:rsidP="000B0C3F">
      <w:pPr>
        <w:pStyle w:val="Textnormy"/>
        <w:keepNext/>
        <w:ind w:left="567" w:hanging="567"/>
      </w:pPr>
      <w:r w:rsidRPr="000F125A">
        <w:t>P</w:t>
      </w:r>
      <w:r w:rsidRPr="000F125A">
        <w:tab/>
        <w:t>množství popílku jako příměsi typu II v betonu</w:t>
      </w:r>
    </w:p>
    <w:p w14:paraId="1BA57364" w14:textId="77777777" w:rsidR="000B0C3F" w:rsidRPr="000F125A" w:rsidRDefault="000B0C3F" w:rsidP="000B0C3F">
      <w:pPr>
        <w:pStyle w:val="Textnormy"/>
        <w:ind w:left="567" w:hanging="567"/>
      </w:pPr>
      <w:r w:rsidRPr="000F125A">
        <w:t>Si</w:t>
      </w:r>
      <w:r w:rsidRPr="000F125A">
        <w:tab/>
        <w:t>množství křemičitých úletů jak</w:t>
      </w:r>
      <w:r>
        <w:t>o příměsi typu II v betonu</w:t>
      </w:r>
    </w:p>
    <w:p w14:paraId="354884AB" w14:textId="77777777" w:rsidR="000B0C3F" w:rsidRPr="000F125A" w:rsidRDefault="000B0C3F" w:rsidP="000B0C3F">
      <w:pPr>
        <w:pStyle w:val="Nadpis2"/>
      </w:pPr>
      <w:r w:rsidRPr="000F125A">
        <w:t>NA.2</w:t>
      </w:r>
      <w:r w:rsidRPr="000F125A">
        <w:rPr>
          <w:rFonts w:ascii="Arial Unicode MS" w:eastAsia="Arial Unicode MS" w:hAnsi="Arial Unicode MS" w:cs="Arial Unicode MS" w:hint="eastAsia"/>
        </w:rPr>
        <w:t> </w:t>
      </w:r>
      <w:bookmarkStart w:id="1" w:name="_Toc38779987"/>
      <w:bookmarkStart w:id="2" w:name="_Toc21515568"/>
      <w:r w:rsidRPr="000F125A">
        <w:t>Tabulka 1 </w:t>
      </w:r>
      <w:bookmarkEnd w:id="1"/>
      <w:r w:rsidRPr="000F125A">
        <w:t xml:space="preserve">v článku 4.1 Stupně vlivu prostředí se doplňuje </w:t>
      </w:r>
      <w:bookmarkStart w:id="3" w:name="_Toc21515573"/>
      <w:bookmarkEnd w:id="2"/>
      <w:r w:rsidRPr="000F125A">
        <w:t xml:space="preserve">tabulkou NA.1 s dalšími </w:t>
      </w:r>
      <w:r w:rsidRPr="000F125A">
        <w:rPr>
          <w:i/>
        </w:rPr>
        <w:t>(psanými</w:t>
      </w:r>
      <w:r w:rsidRPr="000F125A">
        <w:t xml:space="preserve"> </w:t>
      </w:r>
      <w:r>
        <w:rPr>
          <w:i/>
        </w:rPr>
        <w:t>kurzi</w:t>
      </w:r>
      <w:r w:rsidRPr="000F125A">
        <w:rPr>
          <w:i/>
        </w:rPr>
        <w:t>vou)</w:t>
      </w:r>
      <w:r w:rsidRPr="000F125A">
        <w:t xml:space="preserve"> informativními příklady přiřazení konstrukcí stupni vlivu prostředí.</w:t>
      </w:r>
    </w:p>
    <w:p w14:paraId="3A165695" w14:textId="77777777" w:rsidR="000B0C3F" w:rsidRPr="000F125A" w:rsidRDefault="000B0C3F" w:rsidP="000B0C3F">
      <w:pPr>
        <w:pStyle w:val="NadpisTabObr"/>
        <w:rPr>
          <w:i/>
        </w:rPr>
      </w:pPr>
      <w:bookmarkStart w:id="4" w:name="_Toc510502853"/>
      <w:r w:rsidRPr="000F125A">
        <w:t>Tabulka NA.1</w:t>
      </w:r>
      <w:bookmarkEnd w:id="4"/>
      <w:r w:rsidRPr="000F125A">
        <w:t> – Další příklady přiřazení konstrukcí stupni vlivu prostředí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3726"/>
        <w:gridCol w:w="4594"/>
      </w:tblGrid>
      <w:tr w:rsidR="000B0C3F" w:rsidRPr="000F125A" w14:paraId="489B9368" w14:textId="77777777" w:rsidTr="00202FD8">
        <w:trPr>
          <w:jc w:val="center"/>
        </w:trPr>
        <w:tc>
          <w:tcPr>
            <w:tcW w:w="993" w:type="dxa"/>
          </w:tcPr>
          <w:p w14:paraId="06047064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Označení stupně</w:t>
            </w:r>
          </w:p>
        </w:tc>
        <w:tc>
          <w:tcPr>
            <w:tcW w:w="3726" w:type="dxa"/>
          </w:tcPr>
          <w:p w14:paraId="73587322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Popis prostředí</w:t>
            </w:r>
          </w:p>
        </w:tc>
        <w:tc>
          <w:tcPr>
            <w:tcW w:w="4594" w:type="dxa"/>
          </w:tcPr>
          <w:p w14:paraId="2345D225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Informativní příklady výskytu stupně vlivu prostředí</w:t>
            </w:r>
          </w:p>
        </w:tc>
      </w:tr>
      <w:tr w:rsidR="000B0C3F" w:rsidRPr="000F125A" w14:paraId="38DF7514" w14:textId="77777777" w:rsidTr="00202FD8">
        <w:trPr>
          <w:jc w:val="center"/>
        </w:trPr>
        <w:tc>
          <w:tcPr>
            <w:tcW w:w="9313" w:type="dxa"/>
            <w:gridSpan w:val="3"/>
            <w:vAlign w:val="center"/>
          </w:tcPr>
          <w:p w14:paraId="1372DEF1" w14:textId="77777777" w:rsidR="000B0C3F" w:rsidRPr="000F125A" w:rsidRDefault="000B0C3F" w:rsidP="00202FD8">
            <w:pPr>
              <w:pStyle w:val="Texttabulky"/>
              <w:rPr>
                <w:rFonts w:ascii="Courier New" w:hAnsi="Courier New"/>
                <w:b/>
              </w:rPr>
            </w:pPr>
            <w:r w:rsidRPr="000F125A">
              <w:rPr>
                <w:b/>
                <w:snapToGrid w:val="0"/>
              </w:rPr>
              <w:t>1</w:t>
            </w:r>
            <w:r w:rsidRPr="000F125A">
              <w:rPr>
                <w:b/>
                <w:snapToGrid w:val="0"/>
              </w:rPr>
              <w:t> </w:t>
            </w:r>
            <w:r w:rsidRPr="000F125A">
              <w:rPr>
                <w:b/>
                <w:snapToGrid w:val="0"/>
              </w:rPr>
              <w:t>Bez nebezpečí koroze nebo narušení</w:t>
            </w:r>
          </w:p>
        </w:tc>
      </w:tr>
      <w:tr w:rsidR="000B0C3F" w:rsidRPr="000F125A" w14:paraId="6A3696E3" w14:textId="77777777" w:rsidTr="00202FD8">
        <w:trPr>
          <w:jc w:val="center"/>
        </w:trPr>
        <w:tc>
          <w:tcPr>
            <w:tcW w:w="993" w:type="dxa"/>
            <w:vAlign w:val="center"/>
          </w:tcPr>
          <w:p w14:paraId="6F9B5C93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X0</w:t>
            </w:r>
          </w:p>
        </w:tc>
        <w:tc>
          <w:tcPr>
            <w:tcW w:w="3726" w:type="dxa"/>
          </w:tcPr>
          <w:p w14:paraId="363B6B37" w14:textId="77777777" w:rsidR="000B0C3F" w:rsidRPr="00973C29" w:rsidRDefault="000B0C3F" w:rsidP="00202FD8">
            <w:pPr>
              <w:pStyle w:val="Texttabulky"/>
              <w:rPr>
                <w:snapToGrid w:val="0"/>
                <w:szCs w:val="18"/>
              </w:rPr>
            </w:pPr>
            <w:r w:rsidRPr="00973C29">
              <w:rPr>
                <w:snapToGrid w:val="0"/>
                <w:szCs w:val="18"/>
              </w:rPr>
              <w:t>pro beton bez výztuže nebo zabudovaných kovových vložek:</w:t>
            </w:r>
          </w:p>
          <w:p w14:paraId="208CE18B" w14:textId="77777777" w:rsidR="000B0C3F" w:rsidRPr="00973C29" w:rsidRDefault="000B0C3F" w:rsidP="00202FD8">
            <w:pPr>
              <w:pStyle w:val="Seznamvnorm"/>
              <w:spacing w:before="60" w:after="60"/>
              <w:jc w:val="left"/>
              <w:rPr>
                <w:snapToGrid w:val="0"/>
                <w:sz w:val="18"/>
                <w:szCs w:val="18"/>
              </w:rPr>
            </w:pPr>
            <w:r w:rsidRPr="00973C29">
              <w:rPr>
                <w:snapToGrid w:val="0"/>
                <w:sz w:val="18"/>
                <w:szCs w:val="18"/>
              </w:rPr>
              <w:t>všechny vlivy s výjimkou střídavého působení mrazu a rozmrazování, obrusu nebo chemicky agresivního prostředí;</w:t>
            </w:r>
          </w:p>
          <w:p w14:paraId="57B54CB0" w14:textId="77777777" w:rsidR="000B0C3F" w:rsidRPr="00973C29" w:rsidRDefault="000B0C3F" w:rsidP="00202FD8">
            <w:pPr>
              <w:pStyle w:val="Texttabulky"/>
              <w:rPr>
                <w:snapToGrid w:val="0"/>
                <w:szCs w:val="18"/>
              </w:rPr>
            </w:pPr>
            <w:r w:rsidRPr="00973C29">
              <w:rPr>
                <w:snapToGrid w:val="0"/>
                <w:szCs w:val="18"/>
              </w:rPr>
              <w:t>pro beton s výztuží nebo se zabudovanými kovovými vložkami:</w:t>
            </w:r>
          </w:p>
          <w:p w14:paraId="614BE8CE" w14:textId="77777777" w:rsidR="000B0C3F" w:rsidRPr="00973C29" w:rsidRDefault="000B0C3F" w:rsidP="00202FD8">
            <w:pPr>
              <w:pStyle w:val="Seznamvnorm"/>
              <w:spacing w:before="60" w:after="60"/>
              <w:rPr>
                <w:snapToGrid w:val="0"/>
                <w:sz w:val="18"/>
                <w:szCs w:val="18"/>
              </w:rPr>
            </w:pPr>
            <w:r w:rsidRPr="00973C29">
              <w:rPr>
                <w:snapToGrid w:val="0"/>
                <w:sz w:val="18"/>
                <w:szCs w:val="18"/>
              </w:rPr>
              <w:t>velmi suché</w:t>
            </w:r>
          </w:p>
        </w:tc>
        <w:tc>
          <w:tcPr>
            <w:tcW w:w="4594" w:type="dxa"/>
          </w:tcPr>
          <w:p w14:paraId="382F241E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beton uvnitř budov s velmi nízkou vlhkostí vzduchu;</w:t>
            </w:r>
            <w:r w:rsidRPr="000F125A">
              <w:rPr>
                <w:snapToGrid w:val="0"/>
              </w:rPr>
              <w:br/>
            </w:r>
          </w:p>
          <w:p w14:paraId="0389615A" w14:textId="77777777" w:rsidR="000B0C3F" w:rsidRPr="000F125A" w:rsidRDefault="000B0C3F" w:rsidP="00202FD8">
            <w:pPr>
              <w:pStyle w:val="Texttabulky"/>
              <w:rPr>
                <w:i/>
                <w:snapToGrid w:val="0"/>
              </w:rPr>
            </w:pPr>
            <w:r w:rsidRPr="000F125A">
              <w:rPr>
                <w:i/>
                <w:snapToGrid w:val="0"/>
              </w:rPr>
              <w:t>beton základů bez výztuže v prostředí bez vlivu mrazu</w:t>
            </w:r>
            <w:r w:rsidRPr="000F125A">
              <w:rPr>
                <w:snapToGrid w:val="0"/>
              </w:rPr>
              <w:t>;</w:t>
            </w:r>
            <w:r w:rsidRPr="000F125A">
              <w:rPr>
                <w:snapToGrid w:val="0"/>
              </w:rPr>
              <w:br/>
            </w:r>
            <w:r w:rsidRPr="000F125A">
              <w:rPr>
                <w:snapToGrid w:val="0"/>
              </w:rPr>
              <w:br/>
            </w:r>
          </w:p>
          <w:p w14:paraId="486873FD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i/>
                <w:snapToGrid w:val="0"/>
              </w:rPr>
              <w:t>beton bez výztuže uvnitř budov</w:t>
            </w:r>
          </w:p>
        </w:tc>
      </w:tr>
      <w:tr w:rsidR="000B0C3F" w:rsidRPr="000F125A" w14:paraId="0CE63FEA" w14:textId="77777777" w:rsidTr="00202FD8">
        <w:trPr>
          <w:jc w:val="center"/>
        </w:trPr>
        <w:tc>
          <w:tcPr>
            <w:tcW w:w="9313" w:type="dxa"/>
            <w:gridSpan w:val="3"/>
            <w:vAlign w:val="center"/>
          </w:tcPr>
          <w:p w14:paraId="4B476478" w14:textId="77777777" w:rsidR="000B0C3F" w:rsidRPr="000F125A" w:rsidRDefault="000B0C3F" w:rsidP="00202FD8">
            <w:pPr>
              <w:pStyle w:val="Texttabulky"/>
            </w:pPr>
            <w:r w:rsidRPr="000F125A">
              <w:rPr>
                <w:b/>
                <w:snapToGrid w:val="0"/>
              </w:rPr>
              <w:t>2</w:t>
            </w:r>
            <w:r w:rsidRPr="000F125A">
              <w:rPr>
                <w:b/>
                <w:snapToGrid w:val="0"/>
              </w:rPr>
              <w:t> </w:t>
            </w:r>
            <w:r w:rsidRPr="000F125A">
              <w:rPr>
                <w:b/>
                <w:snapToGrid w:val="0"/>
              </w:rPr>
              <w:t>Koroze vlivem karbonatace</w:t>
            </w:r>
          </w:p>
        </w:tc>
      </w:tr>
      <w:tr w:rsidR="000B0C3F" w:rsidRPr="000F125A" w14:paraId="1EF5BFAD" w14:textId="77777777" w:rsidTr="00202FD8">
        <w:trPr>
          <w:jc w:val="center"/>
        </w:trPr>
        <w:tc>
          <w:tcPr>
            <w:tcW w:w="9313" w:type="dxa"/>
            <w:gridSpan w:val="3"/>
          </w:tcPr>
          <w:p w14:paraId="782EB232" w14:textId="77777777" w:rsidR="000B0C3F" w:rsidRPr="000F125A" w:rsidRDefault="000B0C3F" w:rsidP="00202FD8">
            <w:pPr>
              <w:pStyle w:val="Texttabulky"/>
              <w:jc w:val="both"/>
              <w:rPr>
                <w:snapToGrid w:val="0"/>
              </w:rPr>
            </w:pPr>
            <w:r w:rsidRPr="000F125A">
              <w:rPr>
                <w:snapToGrid w:val="0"/>
              </w:rPr>
              <w:t>Pokud beton obsahující výztuž nebo jiné zabudované kovové vložky je vystaven ovzduší a vlhkosti, pak se stupeň v</w:t>
            </w:r>
            <w:r>
              <w:rPr>
                <w:snapToGrid w:val="0"/>
              </w:rPr>
              <w:t>livu prostředí určuje takto</w:t>
            </w:r>
            <w:r w:rsidRPr="000F125A">
              <w:rPr>
                <w:snapToGrid w:val="0"/>
              </w:rPr>
              <w:t>:</w:t>
            </w:r>
          </w:p>
          <w:p w14:paraId="32771F3A" w14:textId="77777777" w:rsidR="000B0C3F" w:rsidRPr="000F125A" w:rsidRDefault="000B0C3F" w:rsidP="00202FD8">
            <w:pPr>
              <w:pStyle w:val="Texttabulky"/>
              <w:jc w:val="both"/>
              <w:rPr>
                <w:snapToGrid w:val="0"/>
              </w:rPr>
            </w:pPr>
            <w:r w:rsidRPr="000F125A">
              <w:rPr>
                <w:snapToGrid w:val="0"/>
              </w:rPr>
              <w:t>POZNÁMKA</w:t>
            </w:r>
            <w:r w:rsidRPr="000F125A">
              <w:rPr>
                <w:b/>
                <w:snapToGrid w:val="0"/>
              </w:rPr>
              <w:t> </w:t>
            </w:r>
            <w:r w:rsidRPr="000F125A">
              <w:rPr>
                <w:snapToGrid w:val="0"/>
              </w:rPr>
              <w:t>Vlhkostní podmínky se vztahují k betonové krycí vrstvě výztuže nebo jiných kovových vložek, ale v mnoha případech se mohou podmínky v betonové krycí vrstvě považovat za stejné jako v okolním prostředí. V takových případech může být přiměřené stanovit vliv podle</w:t>
            </w:r>
            <w:r w:rsidRPr="000F125A">
              <w:rPr>
                <w:i/>
                <w:snapToGrid w:val="0"/>
              </w:rPr>
              <w:t xml:space="preserve"> </w:t>
            </w:r>
            <w:r w:rsidRPr="000F125A">
              <w:rPr>
                <w:snapToGrid w:val="0"/>
              </w:rPr>
              <w:t>okolního</w:t>
            </w:r>
            <w:r w:rsidRPr="000F125A">
              <w:rPr>
                <w:i/>
                <w:snapToGrid w:val="0"/>
              </w:rPr>
              <w:t xml:space="preserve"> </w:t>
            </w:r>
            <w:r w:rsidRPr="000F125A">
              <w:rPr>
                <w:snapToGrid w:val="0"/>
              </w:rPr>
              <w:t>prostředí, ne však v případech, kdy je beton od okolního prostředí oddělen.</w:t>
            </w:r>
          </w:p>
        </w:tc>
      </w:tr>
      <w:tr w:rsidR="000B0C3F" w:rsidRPr="000F125A" w14:paraId="5521015A" w14:textId="77777777" w:rsidTr="00202FD8">
        <w:trPr>
          <w:jc w:val="center"/>
        </w:trPr>
        <w:tc>
          <w:tcPr>
            <w:tcW w:w="993" w:type="dxa"/>
            <w:vAlign w:val="center"/>
          </w:tcPr>
          <w:p w14:paraId="54C70DE3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XC1</w:t>
            </w:r>
          </w:p>
        </w:tc>
        <w:tc>
          <w:tcPr>
            <w:tcW w:w="3726" w:type="dxa"/>
            <w:vAlign w:val="center"/>
          </w:tcPr>
          <w:p w14:paraId="736CA696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suché nebo stále mokré</w:t>
            </w:r>
          </w:p>
        </w:tc>
        <w:tc>
          <w:tcPr>
            <w:tcW w:w="4594" w:type="dxa"/>
          </w:tcPr>
          <w:p w14:paraId="2A3FC2A1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beton uvnitř budov s nízkou vlhkostí vzduchu;</w:t>
            </w:r>
          </w:p>
          <w:p w14:paraId="6B1A50F5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beton trvale ponořený ve vodě;</w:t>
            </w:r>
          </w:p>
          <w:p w14:paraId="6BA0C93A" w14:textId="77777777" w:rsidR="000B0C3F" w:rsidRPr="000F125A" w:rsidRDefault="000B0C3F" w:rsidP="00202FD8">
            <w:pPr>
              <w:pStyle w:val="Texttabulky"/>
              <w:rPr>
                <w:i/>
                <w:snapToGrid w:val="0"/>
              </w:rPr>
            </w:pPr>
            <w:r w:rsidRPr="000F125A">
              <w:rPr>
                <w:i/>
                <w:snapToGrid w:val="0"/>
              </w:rPr>
              <w:t>části staveb se střední vlhkostí vzduchu uvnitř budov (včetně kuchyní, koupelen a prádelen v obytných budovách)</w:t>
            </w:r>
            <w:r w:rsidRPr="000F125A">
              <w:rPr>
                <w:snapToGrid w:val="0"/>
              </w:rPr>
              <w:t>;</w:t>
            </w:r>
          </w:p>
          <w:p w14:paraId="1254AA96" w14:textId="77777777" w:rsidR="000B0C3F" w:rsidRPr="000F125A" w:rsidRDefault="000B0C3F" w:rsidP="00202FD8">
            <w:pPr>
              <w:pStyle w:val="Texttabulky"/>
              <w:rPr>
                <w:i/>
                <w:snapToGrid w:val="0"/>
              </w:rPr>
            </w:pPr>
            <w:r w:rsidRPr="000F125A">
              <w:rPr>
                <w:i/>
                <w:snapToGrid w:val="0"/>
              </w:rPr>
              <w:t>nesmáčené prvky mostních konstrukcí přístupné vzduchu</w:t>
            </w:r>
          </w:p>
        </w:tc>
      </w:tr>
      <w:tr w:rsidR="000B0C3F" w:rsidRPr="000F125A" w14:paraId="18F66B81" w14:textId="77777777" w:rsidTr="00202FD8">
        <w:trPr>
          <w:jc w:val="center"/>
        </w:trPr>
        <w:tc>
          <w:tcPr>
            <w:tcW w:w="993" w:type="dxa"/>
            <w:vAlign w:val="center"/>
          </w:tcPr>
          <w:p w14:paraId="6E3DB0C2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XC2</w:t>
            </w:r>
          </w:p>
        </w:tc>
        <w:tc>
          <w:tcPr>
            <w:tcW w:w="3726" w:type="dxa"/>
            <w:vAlign w:val="center"/>
          </w:tcPr>
          <w:p w14:paraId="4FB3053A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mokré, občas suché</w:t>
            </w:r>
          </w:p>
        </w:tc>
        <w:tc>
          <w:tcPr>
            <w:tcW w:w="4594" w:type="dxa"/>
          </w:tcPr>
          <w:p w14:paraId="21DC5A90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povrch betonu vystavený dlouhodobému působení vody;</w:t>
            </w:r>
          </w:p>
          <w:p w14:paraId="1D8B0DA6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většina základů;</w:t>
            </w:r>
          </w:p>
          <w:p w14:paraId="7A9749C8" w14:textId="77777777" w:rsidR="000B0C3F" w:rsidRPr="000F125A" w:rsidRDefault="000B0C3F" w:rsidP="00202FD8">
            <w:pPr>
              <w:pStyle w:val="Texttabulky"/>
              <w:rPr>
                <w:i/>
                <w:snapToGrid w:val="0"/>
              </w:rPr>
            </w:pPr>
            <w:r w:rsidRPr="000F125A">
              <w:rPr>
                <w:i/>
              </w:rPr>
              <w:t>části vodojemů</w:t>
            </w:r>
          </w:p>
        </w:tc>
      </w:tr>
      <w:tr w:rsidR="000B0C3F" w:rsidRPr="000F125A" w14:paraId="5B64B2B3" w14:textId="77777777" w:rsidTr="00202FD8">
        <w:trPr>
          <w:jc w:val="center"/>
        </w:trPr>
        <w:tc>
          <w:tcPr>
            <w:tcW w:w="993" w:type="dxa"/>
            <w:vAlign w:val="center"/>
          </w:tcPr>
          <w:p w14:paraId="4086F26E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XC3</w:t>
            </w:r>
          </w:p>
        </w:tc>
        <w:tc>
          <w:tcPr>
            <w:tcW w:w="3726" w:type="dxa"/>
            <w:vAlign w:val="center"/>
          </w:tcPr>
          <w:p w14:paraId="140F3324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středně mokré, vlhké</w:t>
            </w:r>
          </w:p>
        </w:tc>
        <w:tc>
          <w:tcPr>
            <w:tcW w:w="4594" w:type="dxa"/>
          </w:tcPr>
          <w:p w14:paraId="2629A301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beton uvnitř budov se střední nebo velkou vlhkostí vzduchu;</w:t>
            </w:r>
          </w:p>
          <w:p w14:paraId="265F1650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venkovní beton chráněný proti dešti;</w:t>
            </w:r>
          </w:p>
          <w:p w14:paraId="28E7B057" w14:textId="77777777" w:rsidR="000B0C3F" w:rsidRPr="000F125A" w:rsidRDefault="000B0C3F" w:rsidP="00202FD8">
            <w:pPr>
              <w:pStyle w:val="Texttabulky"/>
              <w:rPr>
                <w:i/>
                <w:snapToGrid w:val="0"/>
              </w:rPr>
            </w:pPr>
            <w:r w:rsidRPr="000F125A">
              <w:rPr>
                <w:i/>
                <w:snapToGrid w:val="0"/>
              </w:rPr>
              <w:t>části staveb, ke kterým má často nebo stále přístup vnější vzduch, např.: haly, vnitřní prostory s velkou vlhkostí vzduchu (kuchyně pro hromadná stravování, lázně, prádelny, veřejné a kryté bazény, stáje a chlévy)</w:t>
            </w:r>
          </w:p>
        </w:tc>
      </w:tr>
      <w:tr w:rsidR="000B0C3F" w:rsidRPr="000F125A" w14:paraId="17E7376F" w14:textId="77777777" w:rsidTr="00202FD8">
        <w:trPr>
          <w:jc w:val="center"/>
        </w:trPr>
        <w:tc>
          <w:tcPr>
            <w:tcW w:w="993" w:type="dxa"/>
            <w:vAlign w:val="center"/>
          </w:tcPr>
          <w:p w14:paraId="4128669A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XC4</w:t>
            </w:r>
          </w:p>
        </w:tc>
        <w:tc>
          <w:tcPr>
            <w:tcW w:w="3726" w:type="dxa"/>
            <w:vAlign w:val="center"/>
          </w:tcPr>
          <w:p w14:paraId="45F4F929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střídavě mokré a suché</w:t>
            </w:r>
          </w:p>
        </w:tc>
        <w:tc>
          <w:tcPr>
            <w:tcW w:w="4594" w:type="dxa"/>
          </w:tcPr>
          <w:p w14:paraId="62078437" w14:textId="77777777" w:rsidR="000B0C3F" w:rsidRPr="000F125A" w:rsidRDefault="000B0C3F" w:rsidP="00202FD8">
            <w:pPr>
              <w:pStyle w:val="Texttabulky"/>
              <w:rPr>
                <w:snapToGrid w:val="0"/>
              </w:rPr>
            </w:pPr>
            <w:r w:rsidRPr="000F125A">
              <w:rPr>
                <w:snapToGrid w:val="0"/>
              </w:rPr>
              <w:t>povrchy betonu ve styku s vodou, které nejsou zahrnuty ve stupni vlivu prostředí XC2;</w:t>
            </w:r>
          </w:p>
          <w:p w14:paraId="55682884" w14:textId="77777777" w:rsidR="000B0C3F" w:rsidRPr="000F125A" w:rsidRDefault="000B0C3F" w:rsidP="00202FD8">
            <w:pPr>
              <w:pStyle w:val="Texttabulky"/>
              <w:rPr>
                <w:rFonts w:ascii="Courier New" w:hAnsi="Courier New"/>
                <w:snapToGrid w:val="0"/>
              </w:rPr>
            </w:pPr>
            <w:r w:rsidRPr="000F125A">
              <w:rPr>
                <w:i/>
                <w:snapToGrid w:val="0"/>
              </w:rPr>
              <w:t>vnější části staveb z betonu přímo vystaveného srážkám</w:t>
            </w:r>
          </w:p>
        </w:tc>
      </w:tr>
    </w:tbl>
    <w:bookmarkEnd w:id="3"/>
    <w:p w14:paraId="1C464AE2" w14:textId="77777777" w:rsidR="000B0C3F" w:rsidRPr="000F125A" w:rsidRDefault="000B0C3F" w:rsidP="000B0C3F">
      <w:pPr>
        <w:pStyle w:val="Nadpis2"/>
        <w:pageBreakBefore/>
        <w:spacing w:before="0"/>
      </w:pPr>
      <w:r w:rsidRPr="000F125A">
        <w:lastRenderedPageBreak/>
        <w:t>NA.9</w:t>
      </w:r>
      <w:r w:rsidRPr="000F125A">
        <w:rPr>
          <w:rFonts w:ascii="Arial Unicode MS" w:eastAsia="Arial Unicode MS" w:hAnsi="Arial Unicode MS" w:cs="Arial Unicode MS" w:hint="eastAsia"/>
        </w:rPr>
        <w:t> </w:t>
      </w:r>
      <w:r w:rsidRPr="000F125A">
        <w:t>Přechodné ustanovení</w:t>
      </w:r>
    </w:p>
    <w:p w14:paraId="4FB3845C" w14:textId="77777777" w:rsidR="000B0C3F" w:rsidRPr="000F125A" w:rsidRDefault="000B0C3F" w:rsidP="000B0C3F">
      <w:pPr>
        <w:pStyle w:val="Textnormy"/>
        <w:keepNext/>
      </w:pPr>
      <w:r w:rsidRPr="000F125A">
        <w:t>Tam, kde se ČSN odkazuje na návrh prEN, k jejímuž předmětu neexistuje obdobná ČSN, lze používat tento návrh prEN:</w:t>
      </w:r>
    </w:p>
    <w:p w14:paraId="34E9A978" w14:textId="77777777" w:rsidR="000B0C3F" w:rsidRPr="000F125A" w:rsidRDefault="000B0C3F" w:rsidP="000B0C3F">
      <w:pPr>
        <w:pStyle w:val="Abecednseznam"/>
      </w:pPr>
      <w:r w:rsidRPr="000F125A">
        <w:t>prEN</w:t>
      </w:r>
      <w:r>
        <w:t> </w:t>
      </w:r>
      <w:r w:rsidRPr="000F125A">
        <w:t>13263:1998 Křemičitý úlet do betonu – Definice, požadavky a kontrola</w:t>
      </w:r>
    </w:p>
    <w:p w14:paraId="03173797" w14:textId="77777777" w:rsidR="000B0C3F" w:rsidRPr="000F125A" w:rsidRDefault="000B0C3F" w:rsidP="000B0C3F">
      <w:pPr>
        <w:pStyle w:val="Textnormy"/>
      </w:pPr>
      <w:r w:rsidRPr="000F125A">
        <w:t xml:space="preserve">Platnost tohoto ustanovení se ukončuje zavedením příslušné EN do </w:t>
      </w:r>
      <w:r w:rsidRPr="00C044C6">
        <w:t>soustavy</w:t>
      </w:r>
      <w:r>
        <w:t xml:space="preserve"> </w:t>
      </w:r>
      <w:r w:rsidRPr="000F125A">
        <w:t>ČSN.</w:t>
      </w:r>
    </w:p>
    <w:p w14:paraId="77813930" w14:textId="2EACE5B7" w:rsidR="001F7B4B" w:rsidRDefault="001F7B4B" w:rsidP="001F7B4B">
      <w:pPr>
        <w:pStyle w:val="Nadpislnku"/>
      </w:pPr>
      <w:r w:rsidRPr="00AC0FA5">
        <w:t xml:space="preserve">Vypracování </w:t>
      </w:r>
      <w:r w:rsidR="00694E74">
        <w:t xml:space="preserve">změny </w:t>
      </w:r>
      <w:r w:rsidRPr="00AC0FA5">
        <w:t>normy</w:t>
      </w:r>
    </w:p>
    <w:p w14:paraId="337BEBBC" w14:textId="18541D72" w:rsidR="001F7B4B" w:rsidRDefault="001970BC" w:rsidP="001F7B4B">
      <w:pPr>
        <w:pStyle w:val="Textnormy"/>
      </w:pPr>
      <w:r w:rsidRPr="001970BC">
        <w:t>Zpracovatel Národní přílohy</w:t>
      </w:r>
      <w:r w:rsidR="001F7B4B">
        <w:t xml:space="preserve">: </w:t>
      </w:r>
      <w:r w:rsidR="001F7B4B" w:rsidRPr="001F7B4B">
        <w:t>Svaz výrobců betonu ČR, IČ 64935124, Ing. Michal Števula, Ing. Vladimír Veselý a</w:t>
      </w:r>
      <w:r w:rsidR="00694E74">
        <w:t> </w:t>
      </w:r>
      <w:r w:rsidR="001F7B4B" w:rsidRPr="001F7B4B">
        <w:t>kolektiv.</w:t>
      </w:r>
    </w:p>
    <w:p w14:paraId="3B80947C" w14:textId="5AC71F94" w:rsidR="001F7B4B" w:rsidRDefault="001F7B4B" w:rsidP="001F7B4B">
      <w:pPr>
        <w:pStyle w:val="Textnormy"/>
        <w:rPr>
          <w:bCs/>
          <w:i/>
          <w:iCs/>
        </w:rPr>
      </w:pPr>
      <w:r>
        <w:t xml:space="preserve">Technická normalizační komise: </w:t>
      </w:r>
      <w:r w:rsidRPr="001F7B4B">
        <w:t>TNK 36 Betonové konstrukce</w:t>
      </w:r>
    </w:p>
    <w:p w14:paraId="4ECD1BE2" w14:textId="19D5AC4F" w:rsidR="001F7B4B" w:rsidRPr="00453580" w:rsidRDefault="001F7B4B" w:rsidP="001F7B4B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616EE5">
          <w:rPr>
            <w:rStyle w:val="Hypertextovodkaz"/>
          </w:rPr>
          <w:t>Česká agentura pro standardizaci, státní příspěvková organizace</w:t>
        </w:r>
      </w:hyperlink>
    </w:p>
    <w:p w14:paraId="2DB387D7" w14:textId="3AA84C27" w:rsidR="001F7B4B" w:rsidRDefault="001F7B4B" w:rsidP="001F7B4B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616EE5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57AC958A" w14:textId="6DFA7029" w:rsidR="00A83EAB" w:rsidRDefault="001F7B4B" w:rsidP="000B0C3F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sectPr w:rsidR="00A83EAB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7986F" w14:textId="77777777" w:rsidR="00A465A7" w:rsidRDefault="00A465A7">
      <w:r>
        <w:separator/>
      </w:r>
    </w:p>
  </w:endnote>
  <w:endnote w:type="continuationSeparator" w:id="0">
    <w:p w14:paraId="019E130C" w14:textId="77777777" w:rsidR="00A465A7" w:rsidRDefault="00A46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BD68BEF4-BAE2-4563-B569-0910FFDF06BD}"/>
    <w:embedBold r:id="rId2" w:subsetted="1" w:fontKey="{C0336C1F-1D37-4F9F-81D0-C8FC6360A93A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18F8E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0FACE11A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7B85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7B282ED5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A1546" w14:textId="3ED29070" w:rsidR="001F7B4B" w:rsidRPr="00166D3D" w:rsidRDefault="001F7B4B" w:rsidP="001F7B4B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581F15DD" wp14:editId="3B96ADCE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694E74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E0849" w14:textId="77777777" w:rsidR="00385908" w:rsidRDefault="00901917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B0C3F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FDE8E" w14:textId="77777777" w:rsidR="00385908" w:rsidRDefault="00901917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B0C3F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BA751" w14:textId="77777777" w:rsidR="00A465A7" w:rsidRDefault="00A465A7">
      <w:r>
        <w:separator/>
      </w:r>
    </w:p>
  </w:footnote>
  <w:footnote w:type="continuationSeparator" w:id="0">
    <w:p w14:paraId="61A13B00" w14:textId="77777777" w:rsidR="00A465A7" w:rsidRDefault="00A465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886B1" w14:textId="225F209B" w:rsidR="00F34746" w:rsidRDefault="00000000">
    <w:pPr>
      <w:pStyle w:val="Zhlav"/>
    </w:pPr>
    <w:r>
      <w:rPr>
        <w:noProof/>
      </w:rPr>
      <w:pict w14:anchorId="7FB01D4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FCD74" w14:textId="6F283ACD" w:rsidR="00F34746" w:rsidRDefault="00000000">
    <w:pPr>
      <w:pStyle w:val="Zhlav"/>
      <w:jc w:val="right"/>
    </w:pPr>
    <w:r>
      <w:rPr>
        <w:noProof/>
      </w:rPr>
      <w:pict w14:anchorId="25F6264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97749" w14:textId="50A41625" w:rsidR="00BF109F" w:rsidRDefault="00000000">
    <w:pPr>
      <w:pStyle w:val="Zhlav"/>
    </w:pPr>
    <w:r>
      <w:rPr>
        <w:noProof/>
      </w:rPr>
      <w:pict w14:anchorId="4939FCC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B9CCE" w14:textId="6FEA2403" w:rsidR="00385908" w:rsidRDefault="00000000">
    <w:pPr>
      <w:pStyle w:val="Zhlav"/>
    </w:pPr>
    <w:r>
      <w:rPr>
        <w:noProof/>
      </w:rPr>
      <w:pict w14:anchorId="2E117CB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01917">
      <w:t>ČSN EN 206-1/Z2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372DA" w14:textId="5FB8BF10" w:rsidR="00385908" w:rsidRDefault="00000000">
    <w:pPr>
      <w:pStyle w:val="Zhlav"/>
      <w:jc w:val="right"/>
    </w:pPr>
    <w:r>
      <w:rPr>
        <w:noProof/>
      </w:rPr>
      <w:pict w14:anchorId="36A1294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01917">
      <w:t>ČSN EN 206-1/Z2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C0CD0" w14:textId="1BE53C29" w:rsidR="00BF109F" w:rsidRDefault="00000000">
    <w:pPr>
      <w:pStyle w:val="Zhlav"/>
    </w:pPr>
    <w:r>
      <w:rPr>
        <w:noProof/>
      </w:rPr>
      <w:pict w14:anchorId="7372F3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80215624">
    <w:abstractNumId w:val="17"/>
  </w:num>
  <w:num w:numId="2" w16cid:durableId="824125614">
    <w:abstractNumId w:val="14"/>
  </w:num>
  <w:num w:numId="3" w16cid:durableId="1572932253">
    <w:abstractNumId w:val="15"/>
  </w:num>
  <w:num w:numId="4" w16cid:durableId="891159985">
    <w:abstractNumId w:val="9"/>
  </w:num>
  <w:num w:numId="5" w16cid:durableId="537662315">
    <w:abstractNumId w:val="10"/>
  </w:num>
  <w:num w:numId="6" w16cid:durableId="1282541263">
    <w:abstractNumId w:val="20"/>
    <w:lvlOverride w:ilvl="0">
      <w:startOverride w:val="1"/>
    </w:lvlOverride>
  </w:num>
  <w:num w:numId="7" w16cid:durableId="1768231295">
    <w:abstractNumId w:val="11"/>
  </w:num>
  <w:num w:numId="8" w16cid:durableId="1853296379">
    <w:abstractNumId w:val="16"/>
  </w:num>
  <w:num w:numId="9" w16cid:durableId="189924567">
    <w:abstractNumId w:val="10"/>
    <w:lvlOverride w:ilvl="0">
      <w:startOverride w:val="1"/>
    </w:lvlOverride>
  </w:num>
  <w:num w:numId="10" w16cid:durableId="1362853706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156"/>
    <w:rsid w:val="0002116E"/>
    <w:rsid w:val="000B0558"/>
    <w:rsid w:val="000B0C3F"/>
    <w:rsid w:val="000C0ACC"/>
    <w:rsid w:val="000D22A5"/>
    <w:rsid w:val="000D7198"/>
    <w:rsid w:val="000D7CC4"/>
    <w:rsid w:val="00103F06"/>
    <w:rsid w:val="00104C1B"/>
    <w:rsid w:val="0013039D"/>
    <w:rsid w:val="00135415"/>
    <w:rsid w:val="001567EF"/>
    <w:rsid w:val="00194A2B"/>
    <w:rsid w:val="001970BC"/>
    <w:rsid w:val="001B1B5E"/>
    <w:rsid w:val="001B63E7"/>
    <w:rsid w:val="001C5822"/>
    <w:rsid w:val="001F7B4B"/>
    <w:rsid w:val="00210AAE"/>
    <w:rsid w:val="00215156"/>
    <w:rsid w:val="00231D91"/>
    <w:rsid w:val="0028489E"/>
    <w:rsid w:val="002B25EE"/>
    <w:rsid w:val="002D43DF"/>
    <w:rsid w:val="002F6A9A"/>
    <w:rsid w:val="00314F2D"/>
    <w:rsid w:val="00342314"/>
    <w:rsid w:val="00342659"/>
    <w:rsid w:val="00350A80"/>
    <w:rsid w:val="00374DA1"/>
    <w:rsid w:val="00385908"/>
    <w:rsid w:val="0038646B"/>
    <w:rsid w:val="004069CB"/>
    <w:rsid w:val="00412CB3"/>
    <w:rsid w:val="00445C34"/>
    <w:rsid w:val="00453580"/>
    <w:rsid w:val="004B223B"/>
    <w:rsid w:val="004C5D55"/>
    <w:rsid w:val="004D39AA"/>
    <w:rsid w:val="00503D98"/>
    <w:rsid w:val="00576ED5"/>
    <w:rsid w:val="00581073"/>
    <w:rsid w:val="00593402"/>
    <w:rsid w:val="005E3B21"/>
    <w:rsid w:val="005E6EAE"/>
    <w:rsid w:val="00616EE5"/>
    <w:rsid w:val="00694E74"/>
    <w:rsid w:val="006A3382"/>
    <w:rsid w:val="006B04C9"/>
    <w:rsid w:val="006D2485"/>
    <w:rsid w:val="00734D06"/>
    <w:rsid w:val="00782CE0"/>
    <w:rsid w:val="007E23F0"/>
    <w:rsid w:val="007F27A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901917"/>
    <w:rsid w:val="0090499A"/>
    <w:rsid w:val="00923E20"/>
    <w:rsid w:val="0093110D"/>
    <w:rsid w:val="009317D3"/>
    <w:rsid w:val="00931FE4"/>
    <w:rsid w:val="0095314E"/>
    <w:rsid w:val="00955240"/>
    <w:rsid w:val="00967507"/>
    <w:rsid w:val="00970283"/>
    <w:rsid w:val="009C6219"/>
    <w:rsid w:val="009F2E2E"/>
    <w:rsid w:val="00A12852"/>
    <w:rsid w:val="00A3019F"/>
    <w:rsid w:val="00A465A7"/>
    <w:rsid w:val="00A83EAB"/>
    <w:rsid w:val="00A848B2"/>
    <w:rsid w:val="00A90C34"/>
    <w:rsid w:val="00AB15EC"/>
    <w:rsid w:val="00BB7770"/>
    <w:rsid w:val="00BC1FDE"/>
    <w:rsid w:val="00BF109F"/>
    <w:rsid w:val="00C02CD7"/>
    <w:rsid w:val="00C2107C"/>
    <w:rsid w:val="00C43BC8"/>
    <w:rsid w:val="00C72E1B"/>
    <w:rsid w:val="00C904AB"/>
    <w:rsid w:val="00D53998"/>
    <w:rsid w:val="00D53D67"/>
    <w:rsid w:val="00D54402"/>
    <w:rsid w:val="00D64213"/>
    <w:rsid w:val="00D85849"/>
    <w:rsid w:val="00DA1989"/>
    <w:rsid w:val="00DE2529"/>
    <w:rsid w:val="00DE412B"/>
    <w:rsid w:val="00E1164C"/>
    <w:rsid w:val="00E22981"/>
    <w:rsid w:val="00E54908"/>
    <w:rsid w:val="00E63206"/>
    <w:rsid w:val="00EB1FEE"/>
    <w:rsid w:val="00F34746"/>
    <w:rsid w:val="00F415E7"/>
    <w:rsid w:val="00F74691"/>
    <w:rsid w:val="00FD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8F490AF"/>
  <w15:chartTrackingRefBased/>
  <w15:docId w15:val="{8A19DB06-2B89-4576-8B92-8E9CB0153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16EE5"/>
  </w:style>
  <w:style w:type="paragraph" w:styleId="Nadpis1">
    <w:name w:val="heading 1"/>
    <w:basedOn w:val="Nadpiskapitoly"/>
    <w:next w:val="Textnormy"/>
    <w:link w:val="Nadpis1Char"/>
    <w:qFormat/>
    <w:rsid w:val="00616EE5"/>
    <w:pPr>
      <w:outlineLvl w:val="0"/>
    </w:pPr>
  </w:style>
  <w:style w:type="paragraph" w:styleId="Nadpis2">
    <w:name w:val="heading 2"/>
    <w:basedOn w:val="Nadpislnku"/>
    <w:next w:val="Textnormy"/>
    <w:qFormat/>
    <w:rsid w:val="00616EE5"/>
    <w:pPr>
      <w:outlineLvl w:val="1"/>
    </w:pPr>
  </w:style>
  <w:style w:type="paragraph" w:styleId="Nadpis3">
    <w:name w:val="heading 3"/>
    <w:basedOn w:val="Nadpislnku"/>
    <w:next w:val="Textnormy"/>
    <w:qFormat/>
    <w:rsid w:val="00616EE5"/>
    <w:pPr>
      <w:outlineLvl w:val="2"/>
    </w:pPr>
  </w:style>
  <w:style w:type="paragraph" w:styleId="Nadpis4">
    <w:name w:val="heading 4"/>
    <w:basedOn w:val="Nadpislnku"/>
    <w:next w:val="Textnormy"/>
    <w:qFormat/>
    <w:rsid w:val="00616EE5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616EE5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616EE5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616EE5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616EE5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616EE5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616EE5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616EE5"/>
  </w:style>
  <w:style w:type="paragraph" w:customStyle="1" w:styleId="Nadpiskapitoly">
    <w:name w:val="Nadpis kapitoly"/>
    <w:basedOn w:val="Nadpislnku"/>
    <w:next w:val="Textnormy"/>
    <w:rsid w:val="00616EE5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616EE5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616EE5"/>
    <w:pPr>
      <w:spacing w:after="120"/>
      <w:jc w:val="both"/>
    </w:pPr>
  </w:style>
  <w:style w:type="paragraph" w:customStyle="1" w:styleId="1StrTrZn">
    <w:name w:val="1StrTrZn"/>
    <w:basedOn w:val="Textnormy"/>
    <w:rsid w:val="00616EE5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616EE5"/>
    <w:pPr>
      <w:spacing w:before="480"/>
    </w:pPr>
  </w:style>
  <w:style w:type="paragraph" w:customStyle="1" w:styleId="1StrNN-1-23">
    <w:name w:val="1StrNN-1-23"/>
    <w:basedOn w:val="Textnormy"/>
    <w:rsid w:val="00616EE5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616EE5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616EE5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616EE5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616EE5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616EE5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616EE5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616EE5"/>
    <w:pPr>
      <w:spacing w:before="0" w:after="120"/>
      <w:ind w:left="284" w:hanging="284"/>
    </w:pPr>
  </w:style>
  <w:style w:type="paragraph" w:styleId="Zhlav">
    <w:name w:val="header"/>
    <w:basedOn w:val="Textnormy"/>
    <w:rsid w:val="00616EE5"/>
    <w:pPr>
      <w:spacing w:after="360"/>
    </w:pPr>
    <w:rPr>
      <w:sz w:val="18"/>
    </w:rPr>
  </w:style>
  <w:style w:type="paragraph" w:styleId="Zpat">
    <w:name w:val="footer"/>
    <w:basedOn w:val="Textnormy"/>
    <w:rsid w:val="00616EE5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616EE5"/>
    <w:pPr>
      <w:spacing w:after="120"/>
    </w:pPr>
  </w:style>
  <w:style w:type="paragraph" w:styleId="Obsah2">
    <w:name w:val="toc 2"/>
    <w:basedOn w:val="Obsah1"/>
    <w:next w:val="Textnormy"/>
    <w:uiPriority w:val="39"/>
    <w:rsid w:val="00616EE5"/>
  </w:style>
  <w:style w:type="paragraph" w:styleId="Obsah1">
    <w:name w:val="toc 1"/>
    <w:basedOn w:val="Textnormy"/>
    <w:next w:val="Textnormy"/>
    <w:uiPriority w:val="39"/>
    <w:rsid w:val="00616EE5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616EE5"/>
    <w:pPr>
      <w:numPr>
        <w:numId w:val="7"/>
      </w:numPr>
    </w:pPr>
  </w:style>
  <w:style w:type="paragraph" w:styleId="Obsah3">
    <w:name w:val="toc 3"/>
    <w:basedOn w:val="Obsah1"/>
    <w:next w:val="Textnormy"/>
    <w:rsid w:val="00616EE5"/>
  </w:style>
  <w:style w:type="paragraph" w:styleId="Obsah4">
    <w:name w:val="toc 4"/>
    <w:basedOn w:val="Obsah1"/>
    <w:next w:val="Textnormy"/>
    <w:uiPriority w:val="39"/>
    <w:rsid w:val="00616EE5"/>
  </w:style>
  <w:style w:type="paragraph" w:styleId="Obsah6">
    <w:name w:val="toc 6"/>
    <w:basedOn w:val="Obsah1"/>
    <w:next w:val="Textnormy"/>
    <w:rsid w:val="00616EE5"/>
  </w:style>
  <w:style w:type="paragraph" w:styleId="Obsah7">
    <w:name w:val="toc 7"/>
    <w:basedOn w:val="Obsah1"/>
    <w:next w:val="Textnormy"/>
    <w:semiHidden/>
    <w:rsid w:val="00616EE5"/>
  </w:style>
  <w:style w:type="paragraph" w:styleId="Obsah8">
    <w:name w:val="toc 8"/>
    <w:basedOn w:val="Obsah1"/>
    <w:next w:val="Textnormy"/>
    <w:semiHidden/>
    <w:rsid w:val="00616EE5"/>
  </w:style>
  <w:style w:type="character" w:styleId="Znakapoznpodarou">
    <w:name w:val="footnote reference"/>
    <w:basedOn w:val="Standardnpsmoodstavce"/>
    <w:rsid w:val="00616EE5"/>
    <w:rPr>
      <w:vertAlign w:val="superscript"/>
    </w:rPr>
  </w:style>
  <w:style w:type="paragraph" w:customStyle="1" w:styleId="ABCseznamCZ">
    <w:name w:val="ABC seznamCZ"/>
    <w:basedOn w:val="Textnormy"/>
    <w:rsid w:val="00616EE5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616EE5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616EE5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616EE5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215156"/>
    <w:pPr>
      <w:keepNext w:val="0"/>
      <w:jc w:val="center"/>
    </w:pPr>
  </w:style>
  <w:style w:type="paragraph" w:customStyle="1" w:styleId="Abecednseznam">
    <w:name w:val="Abecední seznam"/>
    <w:basedOn w:val="Textnormy"/>
    <w:rsid w:val="00616EE5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616EE5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616EE5"/>
    <w:pPr>
      <w:ind w:left="1600"/>
    </w:pPr>
  </w:style>
  <w:style w:type="paragraph" w:customStyle="1" w:styleId="1Str1Rad">
    <w:name w:val="1Str1Rad"/>
    <w:basedOn w:val="Textnormy"/>
    <w:rsid w:val="00616EE5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616EE5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616EE5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616EE5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616EE5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616EE5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616EE5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616EE5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616EE5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616EE5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616EE5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616EE5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616EE5"/>
    <w:pPr>
      <w:spacing w:before="300"/>
    </w:pPr>
  </w:style>
  <w:style w:type="paragraph" w:customStyle="1" w:styleId="1StrNN-X">
    <w:name w:val="1StrNN-X"/>
    <w:basedOn w:val="1StrNN-1-23"/>
    <w:rsid w:val="00616EE5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616EE5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616EE5"/>
    <w:pPr>
      <w:spacing w:before="800"/>
    </w:pPr>
  </w:style>
  <w:style w:type="paragraph" w:customStyle="1" w:styleId="1StrNN-2-4">
    <w:name w:val="1StrNN-2-4"/>
    <w:basedOn w:val="1StrNN-1-23"/>
    <w:rsid w:val="00616EE5"/>
  </w:style>
  <w:style w:type="paragraph" w:customStyle="1" w:styleId="1StrNN-3-4">
    <w:name w:val="1StrNN-3-4"/>
    <w:basedOn w:val="1StrNN-1-23"/>
    <w:rsid w:val="00616EE5"/>
    <w:pPr>
      <w:spacing w:before="460"/>
    </w:pPr>
  </w:style>
  <w:style w:type="paragraph" w:customStyle="1" w:styleId="1StrNN-4-4">
    <w:name w:val="1StrNN-4-4"/>
    <w:basedOn w:val="1StrNN-1-23"/>
    <w:rsid w:val="00616EE5"/>
    <w:pPr>
      <w:spacing w:before="340"/>
    </w:pPr>
  </w:style>
  <w:style w:type="paragraph" w:customStyle="1" w:styleId="ABCSeznamUS">
    <w:name w:val="ABC SeznamUS"/>
    <w:basedOn w:val="Textnormy"/>
    <w:rsid w:val="00616EE5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616EE5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616EE5"/>
    <w:pPr>
      <w:jc w:val="left"/>
    </w:pPr>
  </w:style>
  <w:style w:type="paragraph" w:customStyle="1" w:styleId="1StrNN-4-3">
    <w:name w:val="1StrNN-4-3"/>
    <w:basedOn w:val="1StrNN-1-23"/>
    <w:rsid w:val="00616EE5"/>
    <w:pPr>
      <w:spacing w:before="160"/>
    </w:pPr>
  </w:style>
  <w:style w:type="paragraph" w:customStyle="1" w:styleId="Upozornn">
    <w:name w:val="Upozornění"/>
    <w:basedOn w:val="Normln"/>
    <w:rsid w:val="00616EE5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616EE5"/>
  </w:style>
  <w:style w:type="character" w:styleId="Hypertextovodkaz">
    <w:name w:val="Hyperlink"/>
    <w:unhideWhenUsed/>
    <w:rsid w:val="00616EE5"/>
    <w:rPr>
      <w:color w:val="0000FF"/>
      <w:u w:val="single"/>
    </w:rPr>
  </w:style>
  <w:style w:type="table" w:styleId="Mkatabulky">
    <w:name w:val="Table Grid"/>
    <w:basedOn w:val="Normlntabulka"/>
    <w:rsid w:val="00616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616EE5"/>
    <w:rPr>
      <w:b/>
      <w:sz w:val="24"/>
    </w:rPr>
  </w:style>
  <w:style w:type="character" w:styleId="Odkaznakoment">
    <w:name w:val="annotation reference"/>
    <w:basedOn w:val="Standardnpsmoodstavce"/>
    <w:unhideWhenUsed/>
    <w:rsid w:val="00616EE5"/>
    <w:rPr>
      <w:sz w:val="16"/>
      <w:szCs w:val="16"/>
    </w:rPr>
  </w:style>
  <w:style w:type="paragraph" w:styleId="Textbubliny">
    <w:name w:val="Balloon Text"/>
    <w:basedOn w:val="Normln"/>
    <w:link w:val="TextbublinyChar"/>
    <w:rsid w:val="00616E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616EE5"/>
  </w:style>
  <w:style w:type="character" w:customStyle="1" w:styleId="TextkomenteChar">
    <w:name w:val="Text komentáře Char"/>
    <w:basedOn w:val="Standardnpsmoodstavce"/>
    <w:link w:val="Textkomente"/>
    <w:rsid w:val="00616EE5"/>
  </w:style>
  <w:style w:type="character" w:customStyle="1" w:styleId="TextnormyCharChar">
    <w:name w:val="Text normy Char Char"/>
    <w:semiHidden/>
    <w:rsid w:val="00616EE5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616EE5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616EE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616EE5"/>
    <w:rPr>
      <w:b/>
      <w:bCs/>
    </w:rPr>
  </w:style>
  <w:style w:type="character" w:customStyle="1" w:styleId="NadpislnkuChar">
    <w:name w:val="Nadpis článku Char"/>
    <w:link w:val="Nadpislnku"/>
    <w:rsid w:val="00616EE5"/>
    <w:rPr>
      <w:b/>
    </w:rPr>
  </w:style>
  <w:style w:type="character" w:styleId="Sledovanodkaz">
    <w:name w:val="FollowedHyperlink"/>
    <w:basedOn w:val="Standardnpsmoodstavce"/>
    <w:semiHidden/>
    <w:unhideWhenUsed/>
    <w:rsid w:val="00616EE5"/>
    <w:rPr>
      <w:color w:val="954F72" w:themeColor="followedHyperlink"/>
      <w:u w:val="single"/>
    </w:rPr>
  </w:style>
  <w:style w:type="paragraph" w:customStyle="1" w:styleId="Cizojazynnzev0">
    <w:name w:val="Cizojazyèný název"/>
    <w:rsid w:val="000B0C3F"/>
    <w:pPr>
      <w:widowControl w:val="0"/>
      <w:suppressAutoHyphens/>
      <w:spacing w:after="120"/>
    </w:pPr>
    <w:rPr>
      <w:noProof/>
      <w:sz w:val="18"/>
    </w:rPr>
  </w:style>
  <w:style w:type="paragraph" w:customStyle="1" w:styleId="NadpisObr">
    <w:name w:val="NadpisObr"/>
    <w:basedOn w:val="Nadpis4"/>
    <w:next w:val="Textnormy"/>
    <w:qFormat/>
    <w:rsid w:val="00616EE5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616EE5"/>
    <w:pPr>
      <w:jc w:val="center"/>
    </w:pPr>
  </w:style>
  <w:style w:type="character" w:customStyle="1" w:styleId="cf01">
    <w:name w:val="cf01"/>
    <w:basedOn w:val="Standardnpsmoodstavce"/>
    <w:rsid w:val="00616EE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9</TotalTime>
  <Pages>3</Pages>
  <Words>698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9</cp:revision>
  <cp:lastPrinted>2004-12-14T08:45:00Z</cp:lastPrinted>
  <dcterms:created xsi:type="dcterms:W3CDTF">2024-01-08T07:01:00Z</dcterms:created>
  <dcterms:modified xsi:type="dcterms:W3CDTF">2025-02-04T08:05:00Z</dcterms:modified>
</cp:coreProperties>
</file>