
<file path=[Content_Types].xml><?xml version="1.0" encoding="utf-8"?>
<Types xmlns="http://schemas.openxmlformats.org/package/2006/content-types">
  <Default Extension="emf" ContentType="image/x-emf"/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D9DAB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2C69C5E8" wp14:editId="70DA1FD5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CDAE67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3086752D" w14:textId="77777777" w:rsidR="00A83EAB" w:rsidRDefault="00A55074">
      <w:pPr>
        <w:pStyle w:val="1Str1Rad"/>
        <w:spacing w:after="60"/>
        <w:rPr>
          <w:b/>
        </w:rPr>
      </w:pPr>
      <w:r w:rsidRPr="00A2188B">
        <w:rPr>
          <w:sz w:val="16"/>
        </w:rPr>
        <w:t>ICS 91.100.10</w:t>
      </w:r>
      <w:r w:rsidR="00A83EAB">
        <w:tab/>
      </w:r>
      <w:r w:rsidR="00A83EAB">
        <w:tab/>
      </w:r>
      <w:r w:rsidR="00A83EAB">
        <w:rPr>
          <w:b/>
        </w:rPr>
        <w:t xml:space="preserve">Měsíc </w:t>
      </w:r>
      <w:r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02FB67A5" w14:textId="77777777">
        <w:trPr>
          <w:cantSplit/>
          <w:trHeight w:val="1701"/>
        </w:trPr>
        <w:tc>
          <w:tcPr>
            <w:tcW w:w="7371" w:type="dxa"/>
          </w:tcPr>
          <w:p w14:paraId="314A00D6" w14:textId="77777777" w:rsidR="00A83EAB" w:rsidRDefault="00A55074" w:rsidP="00A55074">
            <w:pPr>
              <w:pStyle w:val="1StrNN-2-23"/>
            </w:pPr>
            <w:r w:rsidRPr="00A2188B">
              <w:t>Spárovací materiály pro sádrové desky</w:t>
            </w:r>
            <w:r>
              <w:t xml:space="preserve"> – </w:t>
            </w:r>
            <w:r w:rsidRPr="00A2188B">
              <w:t>Definice, požadavky a</w:t>
            </w:r>
            <w:r>
              <w:t> </w:t>
            </w:r>
            <w:r w:rsidRPr="00A2188B">
              <w:t>zkušební metody</w:t>
            </w:r>
          </w:p>
        </w:tc>
        <w:tc>
          <w:tcPr>
            <w:tcW w:w="2552" w:type="dxa"/>
          </w:tcPr>
          <w:p w14:paraId="7F0EE223" w14:textId="77777777" w:rsidR="00A55074" w:rsidRPr="00A2188B" w:rsidRDefault="00A55074" w:rsidP="00A55074">
            <w:pPr>
              <w:pStyle w:val="1StrCN"/>
              <w:rPr>
                <w:b w:val="0"/>
                <w:sz w:val="28"/>
              </w:rPr>
            </w:pPr>
            <w:bookmarkStart w:id="0" w:name="_Hlk174972124"/>
            <w:r w:rsidRPr="00A2188B">
              <w:t>ČSN</w:t>
            </w:r>
            <w:r w:rsidRPr="00A2188B">
              <w:br/>
              <w:t>EN 13963</w:t>
            </w:r>
            <w:r w:rsidRPr="00A2188B">
              <w:br/>
            </w:r>
            <w:bookmarkEnd w:id="0"/>
            <w:r w:rsidRPr="00A2188B">
              <w:rPr>
                <w:b w:val="0"/>
                <w:sz w:val="28"/>
              </w:rPr>
              <w:t>ed. 2</w:t>
            </w:r>
          </w:p>
          <w:p w14:paraId="79065518" w14:textId="77777777" w:rsidR="00A83EAB" w:rsidRDefault="00A55074" w:rsidP="00A55074">
            <w:pPr>
              <w:pStyle w:val="1StrTrZn"/>
            </w:pPr>
            <w:r w:rsidRPr="00A2188B">
              <w:t>72 2495</w:t>
            </w:r>
          </w:p>
        </w:tc>
      </w:tr>
    </w:tbl>
    <w:p w14:paraId="01C3C40A" w14:textId="77777777" w:rsidR="00A83EAB" w:rsidRDefault="00A83EAB">
      <w:pPr>
        <w:pStyle w:val="Shodnost"/>
      </w:pPr>
    </w:p>
    <w:p w14:paraId="4E4475B9" w14:textId="77777777" w:rsidR="00A55074" w:rsidRPr="00A2188B" w:rsidRDefault="00A55074" w:rsidP="00A55074">
      <w:pPr>
        <w:pStyle w:val="Cizojazynnzev"/>
      </w:pPr>
      <w:r w:rsidRPr="00A2188B">
        <w:t>Jointing materials for gypsum boards</w:t>
      </w:r>
      <w:r>
        <w:t xml:space="preserve"> – </w:t>
      </w:r>
      <w:r w:rsidRPr="00A2188B">
        <w:t>Definitions, requirements and test methods</w:t>
      </w:r>
      <w:r w:rsidRPr="00A2188B">
        <w:rPr>
          <w:kern w:val="28"/>
        </w:rPr>
        <w:t xml:space="preserve"> </w:t>
      </w:r>
    </w:p>
    <w:p w14:paraId="33650CA0" w14:textId="77777777" w:rsidR="00A55074" w:rsidRPr="00A2188B" w:rsidRDefault="00A55074" w:rsidP="00A55074">
      <w:pPr>
        <w:pStyle w:val="Cizojazynnzev"/>
        <w:rPr>
          <w:lang w:val="fr-FR"/>
        </w:rPr>
      </w:pPr>
      <w:r w:rsidRPr="00A2188B">
        <w:rPr>
          <w:lang w:val="fr-FR"/>
        </w:rPr>
        <w:t>Matériaux de jointoiement pour plaques de plâtre</w:t>
      </w:r>
      <w:r>
        <w:rPr>
          <w:lang w:val="fr-FR"/>
        </w:rPr>
        <w:t xml:space="preserve"> – </w:t>
      </w:r>
      <w:r w:rsidRPr="00A2188B">
        <w:rPr>
          <w:lang w:val="fr-FR"/>
        </w:rPr>
        <w:t>Définitions, spécifications et méthodes d'essai</w:t>
      </w:r>
    </w:p>
    <w:p w14:paraId="46A220D4" w14:textId="77777777" w:rsidR="00A55074" w:rsidRPr="00A2188B" w:rsidRDefault="00A55074" w:rsidP="00A55074">
      <w:pPr>
        <w:pStyle w:val="Cizojazynnzev"/>
        <w:spacing w:after="840"/>
        <w:rPr>
          <w:lang w:val="de-DE"/>
        </w:rPr>
      </w:pPr>
      <w:r w:rsidRPr="00A2188B">
        <w:rPr>
          <w:lang w:val="de-DE"/>
        </w:rPr>
        <w:t>Materialen für das Verspachteln von Gipsplattenfugen</w:t>
      </w:r>
      <w:r>
        <w:rPr>
          <w:lang w:val="de-DE"/>
        </w:rPr>
        <w:t xml:space="preserve"> – </w:t>
      </w:r>
      <w:r w:rsidRPr="00A2188B">
        <w:rPr>
          <w:lang w:val="de-DE"/>
        </w:rPr>
        <w:t>Begriffe, Anforderungen und Prüfverfahren</w:t>
      </w:r>
    </w:p>
    <w:p w14:paraId="54D24286" w14:textId="77777777" w:rsidR="00A55074" w:rsidRPr="00826C12" w:rsidRDefault="00A55074" w:rsidP="00A55074">
      <w:pPr>
        <w:pStyle w:val="Textnormy"/>
        <w:rPr>
          <w:rFonts w:cs="Arial"/>
        </w:rPr>
      </w:pPr>
      <w:r w:rsidRPr="00826C12">
        <w:rPr>
          <w:rFonts w:cs="Arial"/>
        </w:rPr>
        <w:t xml:space="preserve">Tato norma je českou verzí evropské normy EN 13963:2014. Překlad byl zajištěn </w:t>
      </w:r>
      <w:r>
        <w:rPr>
          <w:rFonts w:cs="Arial"/>
        </w:rPr>
        <w:t>Českou agenturou pro standardizaci</w:t>
      </w:r>
      <w:r w:rsidRPr="00826C12">
        <w:rPr>
          <w:rFonts w:cs="Arial"/>
        </w:rPr>
        <w:t>. Má stejný status jako oficiální verze.</w:t>
      </w:r>
    </w:p>
    <w:p w14:paraId="214F02E5" w14:textId="77777777" w:rsidR="00A55074" w:rsidRPr="00826C12" w:rsidRDefault="00A55074" w:rsidP="00A55074">
      <w:pPr>
        <w:pStyle w:val="Textnormy"/>
        <w:rPr>
          <w:rFonts w:cs="Arial"/>
          <w:lang w:val="en-GB"/>
        </w:rPr>
      </w:pPr>
      <w:r w:rsidRPr="00826C12">
        <w:rPr>
          <w:rFonts w:cs="Arial"/>
          <w:lang w:val="en-GB"/>
        </w:rPr>
        <w:t xml:space="preserve">This standard is the Czech version of the European Standard EN 13963:2014. It was translated by the Czech </w:t>
      </w:r>
      <w:r>
        <w:rPr>
          <w:rFonts w:cs="Arial"/>
          <w:lang w:val="en-GB"/>
        </w:rPr>
        <w:t>Standardization Agency</w:t>
      </w:r>
      <w:r w:rsidRPr="00826C12">
        <w:rPr>
          <w:rFonts w:cs="Arial"/>
          <w:lang w:val="en-GB"/>
        </w:rPr>
        <w:t>. It has the same status as the official version.</w:t>
      </w:r>
    </w:p>
    <w:p w14:paraId="6F2EDA77" w14:textId="77777777" w:rsidR="00A55074" w:rsidRPr="00A2188B" w:rsidRDefault="00A55074" w:rsidP="00A55074">
      <w:pPr>
        <w:pStyle w:val="Nadpislnku"/>
      </w:pPr>
      <w:r w:rsidRPr="00A2188B">
        <w:t>Nahrazení předchozích norem</w:t>
      </w:r>
    </w:p>
    <w:p w14:paraId="737FE7CF" w14:textId="7BF7BE14" w:rsidR="00A83EAB" w:rsidRDefault="00A55074" w:rsidP="00A55074">
      <w:pPr>
        <w:pStyle w:val="Textnormy"/>
      </w:pPr>
      <w:r w:rsidRPr="00826C12">
        <w:t xml:space="preserve">S účinností od </w:t>
      </w:r>
      <w:r>
        <w:t>2016-04-30</w:t>
      </w:r>
      <w:r w:rsidRPr="00826C12">
        <w:t xml:space="preserve"> se nahrazuje ČSN</w:t>
      </w:r>
      <w:r w:rsidR="00C674D3">
        <w:t> </w:t>
      </w:r>
      <w:r w:rsidRPr="00826C12">
        <w:t>EN</w:t>
      </w:r>
      <w:r w:rsidR="00C674D3">
        <w:t> </w:t>
      </w:r>
      <w:r w:rsidRPr="00826C12">
        <w:t>13963 (72</w:t>
      </w:r>
      <w:r w:rsidR="00C674D3">
        <w:t> </w:t>
      </w:r>
      <w:r w:rsidRPr="00826C12">
        <w:t>2495) z</w:t>
      </w:r>
      <w:r>
        <w:t> </w:t>
      </w:r>
      <w:r w:rsidRPr="00826C12">
        <w:t>listopadu 2005, která do uvedeného data platí souběžně s</w:t>
      </w:r>
      <w:r>
        <w:t> </w:t>
      </w:r>
      <w:r w:rsidRPr="00826C12">
        <w:t>touto normou.</w:t>
      </w:r>
    </w:p>
    <w:p w14:paraId="0CECF5A6" w14:textId="77777777" w:rsidR="00A83EAB" w:rsidRDefault="00A83EAB">
      <w:pPr>
        <w:pStyle w:val="Textnormy"/>
        <w:tabs>
          <w:tab w:val="right" w:pos="9923"/>
        </w:tabs>
      </w:pPr>
    </w:p>
    <w:p w14:paraId="7998A81C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70762CF6" w14:textId="77777777" w:rsidR="00A55074" w:rsidRPr="00A2188B" w:rsidRDefault="00A55074" w:rsidP="00A55074">
      <w:pPr>
        <w:pStyle w:val="Nadpiskapitoly"/>
        <w:spacing w:before="0"/>
      </w:pPr>
      <w:r w:rsidRPr="00A2188B">
        <w:lastRenderedPageBreak/>
        <w:t>Národní předmluva</w:t>
      </w:r>
    </w:p>
    <w:p w14:paraId="00A7BDB3" w14:textId="77777777" w:rsidR="00A55074" w:rsidRPr="00A2188B" w:rsidRDefault="00A55074" w:rsidP="00A55074">
      <w:pPr>
        <w:pStyle w:val="Nadpislnku"/>
      </w:pPr>
      <w:r w:rsidRPr="00A2188B">
        <w:t>Upozornění na používání této normy</w:t>
      </w:r>
    </w:p>
    <w:p w14:paraId="3E2537E5" w14:textId="36EC59FA" w:rsidR="00A55074" w:rsidRPr="00826C12" w:rsidRDefault="00A55074" w:rsidP="00A55074">
      <w:pPr>
        <w:pStyle w:val="Textnormy"/>
      </w:pPr>
      <w:r w:rsidRPr="00826C12">
        <w:t>Souběžně s</w:t>
      </w:r>
      <w:r>
        <w:t> </w:t>
      </w:r>
      <w:r w:rsidRPr="00826C12">
        <w:t xml:space="preserve">touto normou je </w:t>
      </w:r>
      <w:r w:rsidRPr="00826C12">
        <w:rPr>
          <w:rFonts w:cs="Arial"/>
          <w:snapToGrid w:val="0"/>
        </w:rPr>
        <w:t>v</w:t>
      </w:r>
      <w:r>
        <w:rPr>
          <w:rFonts w:cs="Arial"/>
          <w:snapToGrid w:val="0"/>
        </w:rPr>
        <w:t> </w:t>
      </w:r>
      <w:r w:rsidRPr="00D7704F">
        <w:rPr>
          <w:rFonts w:cs="Arial"/>
          <w:snapToGrid w:val="0"/>
        </w:rPr>
        <w:t>souladu s</w:t>
      </w:r>
      <w:r>
        <w:rPr>
          <w:rFonts w:cs="Arial"/>
          <w:snapToGrid w:val="0"/>
        </w:rPr>
        <w:t> </w:t>
      </w:r>
      <w:r w:rsidRPr="00D7704F">
        <w:rPr>
          <w:rFonts w:cs="Arial"/>
          <w:snapToGrid w:val="0"/>
        </w:rPr>
        <w:t>předmluvou</w:t>
      </w:r>
      <w:r w:rsidRPr="00826C12">
        <w:rPr>
          <w:rFonts w:cs="Arial"/>
          <w:snapToGrid w:val="0"/>
        </w:rPr>
        <w:t xml:space="preserve"> k</w:t>
      </w:r>
      <w:r w:rsidR="00C674D3">
        <w:t> </w:t>
      </w:r>
      <w:r w:rsidRPr="00826C12">
        <w:t>EN</w:t>
      </w:r>
      <w:r w:rsidR="00C674D3">
        <w:t> </w:t>
      </w:r>
      <w:r w:rsidRPr="00826C12">
        <w:t xml:space="preserve">13963:2014 dovoleno do </w:t>
      </w:r>
      <w:r>
        <w:t>2016-04-30</w:t>
      </w:r>
      <w:r w:rsidRPr="00826C12">
        <w:t xml:space="preserve"> používat dosud platnou ČSN EN 13963 (72 2495) z</w:t>
      </w:r>
      <w:r>
        <w:t> </w:t>
      </w:r>
      <w:r w:rsidRPr="00826C12">
        <w:t>listopadu 2005.</w:t>
      </w:r>
    </w:p>
    <w:p w14:paraId="34DE2B0E" w14:textId="77777777" w:rsidR="00A55074" w:rsidRPr="00A2188B" w:rsidRDefault="00A55074" w:rsidP="00A55074">
      <w:pPr>
        <w:pStyle w:val="Nadpislnku"/>
      </w:pPr>
      <w:r w:rsidRPr="00A2188B">
        <w:t>Změny proti předchozí normě</w:t>
      </w:r>
    </w:p>
    <w:p w14:paraId="4A267561" w14:textId="77777777" w:rsidR="00A55074" w:rsidRPr="00A2188B" w:rsidRDefault="00A55074" w:rsidP="00A55074">
      <w:pPr>
        <w:pStyle w:val="Textnormy"/>
      </w:pPr>
      <w:r>
        <w:t>Změny proti předchozí normě jsou uvedeny v evropské předmluvě.</w:t>
      </w:r>
    </w:p>
    <w:p w14:paraId="4071D40B" w14:textId="77777777" w:rsidR="00A55074" w:rsidRPr="00A2188B" w:rsidRDefault="00A55074" w:rsidP="00A55074">
      <w:pPr>
        <w:pStyle w:val="Nadpislnku"/>
      </w:pPr>
      <w:r w:rsidRPr="00A2188B">
        <w:t>Informace o</w:t>
      </w:r>
      <w:r>
        <w:t> </w:t>
      </w:r>
      <w:r w:rsidRPr="00A2188B">
        <w:t>citovaných dokumentech</w:t>
      </w:r>
    </w:p>
    <w:p w14:paraId="69E0809C" w14:textId="0D3FEFEC" w:rsidR="00A55074" w:rsidRPr="00A2188B" w:rsidRDefault="00A55074" w:rsidP="00A55074">
      <w:pPr>
        <w:pStyle w:val="Textnormy"/>
      </w:pPr>
      <w:r w:rsidRPr="00A2188B">
        <w:t>EN</w:t>
      </w:r>
      <w:r w:rsidR="00113159">
        <w:t> </w:t>
      </w:r>
      <w:r w:rsidRPr="00A2188B">
        <w:t>196-3</w:t>
      </w:r>
      <w:r>
        <w:t> </w:t>
      </w:r>
      <w:r w:rsidRPr="00A2188B">
        <w:t>zavedena v</w:t>
      </w:r>
      <w:r w:rsidR="00113159">
        <w:t> </w:t>
      </w:r>
      <w:r w:rsidRPr="00A2188B">
        <w:t>ČSN</w:t>
      </w:r>
      <w:r w:rsidR="00113159">
        <w:t> </w:t>
      </w:r>
      <w:r w:rsidRPr="00A2188B">
        <w:t>EN</w:t>
      </w:r>
      <w:r w:rsidR="00113159">
        <w:t> </w:t>
      </w:r>
      <w:r w:rsidRPr="00A2188B">
        <w:t>196-3 (72</w:t>
      </w:r>
      <w:r w:rsidR="00113159">
        <w:t> </w:t>
      </w:r>
      <w:r w:rsidRPr="00A2188B">
        <w:t>2100) Metody zkoušení cementu</w:t>
      </w:r>
      <w:r>
        <w:t xml:space="preserve"> – </w:t>
      </w:r>
      <w:r w:rsidRPr="00A2188B">
        <w:t>Část</w:t>
      </w:r>
      <w:r w:rsidR="00113159">
        <w:t> </w:t>
      </w:r>
      <w:r w:rsidRPr="00A2188B">
        <w:t>3: Stanovení dob tuhnutí a</w:t>
      </w:r>
      <w:r>
        <w:t> </w:t>
      </w:r>
      <w:r w:rsidRPr="00A2188B">
        <w:t>objemové stálosti</w:t>
      </w:r>
    </w:p>
    <w:p w14:paraId="64B2DFF9" w14:textId="1A866111" w:rsidR="00A55074" w:rsidRPr="00A2188B" w:rsidRDefault="00A55074" w:rsidP="00A55074">
      <w:pPr>
        <w:pStyle w:val="Textnormy"/>
      </w:pPr>
      <w:r w:rsidRPr="00A2188B">
        <w:t>EN</w:t>
      </w:r>
      <w:r w:rsidR="00113159">
        <w:t> </w:t>
      </w:r>
      <w:r w:rsidRPr="00A2188B">
        <w:t>520</w:t>
      </w:r>
      <w:r>
        <w:t> </w:t>
      </w:r>
      <w:r w:rsidRPr="00A2188B">
        <w:t>zavedena v</w:t>
      </w:r>
      <w:r w:rsidR="00113159">
        <w:t> </w:t>
      </w:r>
      <w:r w:rsidRPr="00A2188B">
        <w:t>ČSN</w:t>
      </w:r>
      <w:r w:rsidR="00113159">
        <w:t> </w:t>
      </w:r>
      <w:r w:rsidRPr="00A2188B">
        <w:t>EN</w:t>
      </w:r>
      <w:r w:rsidR="00113159">
        <w:t> </w:t>
      </w:r>
      <w:r w:rsidRPr="00A2188B">
        <w:t>520 (72</w:t>
      </w:r>
      <w:r w:rsidR="00113159">
        <w:t> </w:t>
      </w:r>
      <w:r w:rsidRPr="00A2188B">
        <w:t>3611) Sádrokartonové desky</w:t>
      </w:r>
      <w:r>
        <w:t xml:space="preserve"> – </w:t>
      </w:r>
      <w:r w:rsidRPr="00A2188B">
        <w:t>Definice, požadavky a</w:t>
      </w:r>
      <w:r>
        <w:t> </w:t>
      </w:r>
      <w:r w:rsidRPr="00A2188B">
        <w:t>zkušební metody</w:t>
      </w:r>
    </w:p>
    <w:p w14:paraId="3D474499" w14:textId="093C61DE" w:rsidR="00A55074" w:rsidRPr="00A2188B" w:rsidRDefault="00A55074" w:rsidP="00A55074">
      <w:pPr>
        <w:pStyle w:val="Textnormy"/>
      </w:pPr>
      <w:r w:rsidRPr="00A2188B">
        <w:t>EN</w:t>
      </w:r>
      <w:r w:rsidR="00113159">
        <w:t> </w:t>
      </w:r>
      <w:r w:rsidRPr="00A2188B">
        <w:t>13501-1</w:t>
      </w:r>
      <w:r>
        <w:t> </w:t>
      </w:r>
      <w:r w:rsidRPr="00A2188B">
        <w:t>zavedena v</w:t>
      </w:r>
      <w:r w:rsidR="00113159">
        <w:t> </w:t>
      </w:r>
      <w:r w:rsidRPr="00A2188B">
        <w:t>ČSN</w:t>
      </w:r>
      <w:r w:rsidR="00113159">
        <w:t> </w:t>
      </w:r>
      <w:r w:rsidRPr="00A2188B">
        <w:t>EN</w:t>
      </w:r>
      <w:r w:rsidR="00113159">
        <w:t> </w:t>
      </w:r>
      <w:r w:rsidRPr="00A2188B">
        <w:t>13501-1 (73 0860) Požární klasifikace stavebních výrobků a</w:t>
      </w:r>
      <w:r>
        <w:t> </w:t>
      </w:r>
      <w:r w:rsidRPr="00A2188B">
        <w:t>konstrukce staveb</w:t>
      </w:r>
      <w:r>
        <w:t xml:space="preserve"> – </w:t>
      </w:r>
      <w:r w:rsidRPr="00A2188B">
        <w:t>Část</w:t>
      </w:r>
      <w:r w:rsidR="005E1156">
        <w:t> </w:t>
      </w:r>
      <w:r w:rsidRPr="00A2188B">
        <w:t>1: Klasifikace podle výsledků zkoušek reakce na oheň</w:t>
      </w:r>
    </w:p>
    <w:p w14:paraId="721F860F" w14:textId="7744DE7A" w:rsidR="00A55074" w:rsidRPr="00A2188B" w:rsidRDefault="00A55074" w:rsidP="00A55074">
      <w:pPr>
        <w:pStyle w:val="Textnormy"/>
      </w:pPr>
      <w:r w:rsidRPr="00A2188B">
        <w:t>EN</w:t>
      </w:r>
      <w:r w:rsidR="00113159">
        <w:t> </w:t>
      </w:r>
      <w:r w:rsidRPr="00A2188B">
        <w:t>13823</w:t>
      </w:r>
      <w:r>
        <w:t> </w:t>
      </w:r>
      <w:r w:rsidRPr="00A2188B">
        <w:t>zavedena v</w:t>
      </w:r>
      <w:r w:rsidR="00113159">
        <w:t> </w:t>
      </w:r>
      <w:r w:rsidRPr="00A2188B">
        <w:t>ČSN</w:t>
      </w:r>
      <w:r w:rsidR="00113159">
        <w:t> </w:t>
      </w:r>
      <w:r w:rsidRPr="00A2188B">
        <w:t>EN</w:t>
      </w:r>
      <w:r w:rsidR="00113159">
        <w:t> </w:t>
      </w:r>
      <w:r w:rsidRPr="00A2188B">
        <w:t>13823 (73 0881) Zkoušení reakce stavebních výrobků na oheň</w:t>
      </w:r>
      <w:r>
        <w:t xml:space="preserve"> – </w:t>
      </w:r>
      <w:r w:rsidRPr="00A2188B">
        <w:t>Stavební výrobky kromě podlahových krytin vystavené tepelnému účinku jednotlivého hořícího předmětu</w:t>
      </w:r>
    </w:p>
    <w:p w14:paraId="3E66DD8B" w14:textId="58E029C6" w:rsidR="00A55074" w:rsidRPr="00A2188B" w:rsidRDefault="00A55074" w:rsidP="00A55074">
      <w:pPr>
        <w:pStyle w:val="Textnormy"/>
      </w:pPr>
      <w:r w:rsidRPr="00A2188B">
        <w:t>EN</w:t>
      </w:r>
      <w:r w:rsidR="00113159">
        <w:t> </w:t>
      </w:r>
      <w:r w:rsidRPr="00A2188B">
        <w:t>20535</w:t>
      </w:r>
      <w:r>
        <w:t> </w:t>
      </w:r>
      <w:r w:rsidRPr="00A2188B">
        <w:t>zavedena v</w:t>
      </w:r>
      <w:r w:rsidR="00113159">
        <w:t> </w:t>
      </w:r>
      <w:r w:rsidRPr="00A2188B">
        <w:t>ČSN</w:t>
      </w:r>
      <w:r w:rsidR="00113159">
        <w:t> </w:t>
      </w:r>
      <w:r w:rsidRPr="00A2188B">
        <w:t>ISO</w:t>
      </w:r>
      <w:r w:rsidR="00113159">
        <w:t> </w:t>
      </w:r>
      <w:r w:rsidRPr="00A2188B">
        <w:t>535 (50 0335) Papír a</w:t>
      </w:r>
      <w:r>
        <w:t> </w:t>
      </w:r>
      <w:r w:rsidRPr="00A2188B">
        <w:t>lepenka</w:t>
      </w:r>
      <w:r>
        <w:t xml:space="preserve"> – </w:t>
      </w:r>
      <w:r w:rsidRPr="00A2188B">
        <w:t>Stanovení absorpce vody podle Cobba</w:t>
      </w:r>
    </w:p>
    <w:p w14:paraId="0B4DED26" w14:textId="77777777" w:rsidR="00A55074" w:rsidRPr="00A2188B" w:rsidRDefault="00A55074" w:rsidP="00A55074">
      <w:pPr>
        <w:pStyle w:val="Nadpislnku"/>
      </w:pPr>
      <w:r w:rsidRPr="00A2188B">
        <w:t>Souvisící ČSN</w:t>
      </w:r>
    </w:p>
    <w:p w14:paraId="478F8181" w14:textId="00746B37" w:rsidR="00A55074" w:rsidRPr="00A2188B" w:rsidRDefault="00A55074" w:rsidP="00A55074">
      <w:pPr>
        <w:pStyle w:val="Textnormy"/>
      </w:pPr>
      <w:r>
        <w:t>ČSN</w:t>
      </w:r>
      <w:r w:rsidR="00113159">
        <w:t> </w:t>
      </w:r>
      <w:r>
        <w:t>EN</w:t>
      </w:r>
      <w:r w:rsidR="00113159">
        <w:t> </w:t>
      </w:r>
      <w:r>
        <w:t>13915 (72</w:t>
      </w:r>
      <w:r w:rsidR="00113159">
        <w:t> </w:t>
      </w:r>
      <w:r>
        <w:t>3613)</w:t>
      </w:r>
      <w:r>
        <w:t> </w:t>
      </w:r>
      <w:r w:rsidRPr="00A2188B">
        <w:t>Prefabrikované sádrokartonové panely s</w:t>
      </w:r>
      <w:r>
        <w:t> </w:t>
      </w:r>
      <w:r w:rsidRPr="00A2188B">
        <w:t>pórovitým kartónovým jádrem</w:t>
      </w:r>
      <w:r>
        <w:t xml:space="preserve"> – </w:t>
      </w:r>
      <w:r w:rsidRPr="00A2188B">
        <w:t>Definice, požadavky a</w:t>
      </w:r>
      <w:r>
        <w:t> </w:t>
      </w:r>
      <w:r w:rsidRPr="00A2188B">
        <w:t>zkušební metody</w:t>
      </w:r>
    </w:p>
    <w:p w14:paraId="6767FC44" w14:textId="18CAA7A0" w:rsidR="00A55074" w:rsidRPr="00A2188B" w:rsidRDefault="00A55074" w:rsidP="00A55074">
      <w:pPr>
        <w:pStyle w:val="Textnormy"/>
      </w:pPr>
      <w:r>
        <w:rPr>
          <w:spacing w:val="-2"/>
        </w:rPr>
        <w:t>ČSN</w:t>
      </w:r>
      <w:r w:rsidR="00113159">
        <w:rPr>
          <w:spacing w:val="-2"/>
        </w:rPr>
        <w:t> </w:t>
      </w:r>
      <w:r>
        <w:rPr>
          <w:spacing w:val="-2"/>
        </w:rPr>
        <w:t>EN</w:t>
      </w:r>
      <w:r w:rsidR="00113159">
        <w:rPr>
          <w:spacing w:val="-2"/>
        </w:rPr>
        <w:t> </w:t>
      </w:r>
      <w:r>
        <w:rPr>
          <w:spacing w:val="-2"/>
        </w:rPr>
        <w:t>13950 (72</w:t>
      </w:r>
      <w:r w:rsidR="00113159">
        <w:rPr>
          <w:spacing w:val="-2"/>
        </w:rPr>
        <w:t> </w:t>
      </w:r>
      <w:r>
        <w:rPr>
          <w:spacing w:val="-2"/>
        </w:rPr>
        <w:t>3609)</w:t>
      </w:r>
      <w:r>
        <w:rPr>
          <w:spacing w:val="-2"/>
        </w:rPr>
        <w:t> </w:t>
      </w:r>
      <w:r w:rsidRPr="005D31E7">
        <w:rPr>
          <w:spacing w:val="-2"/>
        </w:rPr>
        <w:t>Sádrokartonové tepelně a</w:t>
      </w:r>
      <w:r>
        <w:rPr>
          <w:spacing w:val="-2"/>
        </w:rPr>
        <w:t> </w:t>
      </w:r>
      <w:r w:rsidRPr="005D31E7">
        <w:rPr>
          <w:spacing w:val="-2"/>
        </w:rPr>
        <w:t>zvukově izolační kompozitní panely</w:t>
      </w:r>
      <w:r>
        <w:rPr>
          <w:spacing w:val="-2"/>
        </w:rPr>
        <w:t xml:space="preserve"> – </w:t>
      </w:r>
      <w:r w:rsidRPr="005D31E7">
        <w:rPr>
          <w:spacing w:val="-2"/>
        </w:rPr>
        <w:t>Definice, požadavky</w:t>
      </w:r>
      <w:r w:rsidRPr="00A2188B">
        <w:t xml:space="preserve"> a</w:t>
      </w:r>
      <w:r>
        <w:t> </w:t>
      </w:r>
      <w:r w:rsidRPr="00A2188B">
        <w:t>zkušební metody</w:t>
      </w:r>
    </w:p>
    <w:p w14:paraId="1B45A4B5" w14:textId="77777777" w:rsidR="00A55074" w:rsidRPr="00A2188B" w:rsidRDefault="00A55074" w:rsidP="00A55074">
      <w:pPr>
        <w:pStyle w:val="Nadpislnku"/>
      </w:pPr>
      <w:r w:rsidRPr="00A2188B">
        <w:t>Citované předpisy</w:t>
      </w:r>
    </w:p>
    <w:p w14:paraId="59CC6BB9" w14:textId="77777777" w:rsidR="00A55074" w:rsidRPr="00A2188B" w:rsidRDefault="00A55074" w:rsidP="00A55074">
      <w:pPr>
        <w:pStyle w:val="Textnormy"/>
      </w:pPr>
      <w:r w:rsidRPr="00A2188B">
        <w:t>Nařízení Evropského parlamentu a</w:t>
      </w:r>
      <w:r>
        <w:t> </w:t>
      </w:r>
      <w:r w:rsidRPr="00A2188B">
        <w:t>Rady (EU) č. 305/2011 ze dne 9. března 2011, kterým se stanoví harmonizované podmínky pro uvádění stavebních výrobků na trh a</w:t>
      </w:r>
      <w:r>
        <w:t> </w:t>
      </w:r>
      <w:r w:rsidRPr="00A2188B">
        <w:t xml:space="preserve">kterým se zrušuje směrnice Rady 89/106/EHS. </w:t>
      </w:r>
      <w:r>
        <w:t>Toto nařízení je závazné v celém rozsahu a přímo použitelné ve všech členských státech.</w:t>
      </w:r>
    </w:p>
    <w:p w14:paraId="124D8C59" w14:textId="77777777" w:rsidR="00A55074" w:rsidRPr="00A2188B" w:rsidRDefault="00A55074" w:rsidP="00A55074">
      <w:pPr>
        <w:pStyle w:val="Nadpislnku"/>
      </w:pPr>
      <w:r w:rsidRPr="00A2188B">
        <w:t>Upozornění na národní poznámky</w:t>
      </w:r>
    </w:p>
    <w:p w14:paraId="440DFAA3" w14:textId="77777777" w:rsidR="00A55074" w:rsidRDefault="00A55074" w:rsidP="00A55074">
      <w:pPr>
        <w:pStyle w:val="Textnormy"/>
      </w:pPr>
      <w:r w:rsidRPr="00A2188B">
        <w:t>Do normy byly k</w:t>
      </w:r>
      <w:r>
        <w:t> </w:t>
      </w:r>
      <w:r w:rsidRPr="00A2188B">
        <w:t>článku 6.2.2 a</w:t>
      </w:r>
      <w:r>
        <w:t> </w:t>
      </w:r>
      <w:r w:rsidRPr="00A2188B">
        <w:t>ke kapitole 8</w:t>
      </w:r>
      <w:r>
        <w:t> </w:t>
      </w:r>
      <w:r w:rsidRPr="00A2188B">
        <w:t>doplněny národní poznámky.</w:t>
      </w:r>
    </w:p>
    <w:p w14:paraId="4F9CE9FF" w14:textId="77777777" w:rsidR="00ED6C91" w:rsidRDefault="00ED6C91" w:rsidP="00ED6C91">
      <w:pPr>
        <w:pStyle w:val="Nadpislnku"/>
      </w:pPr>
      <w:r w:rsidRPr="00AC0FA5">
        <w:t>Vypracování normy</w:t>
      </w:r>
    </w:p>
    <w:p w14:paraId="7D2C1707" w14:textId="77777777" w:rsidR="00ED6C91" w:rsidRDefault="00ED6C91" w:rsidP="00ED6C91">
      <w:pPr>
        <w:pStyle w:val="Textnormy"/>
      </w:pPr>
      <w:r>
        <w:t>Zpracovatel odborného překladu</w:t>
      </w:r>
      <w:r>
        <w:rPr>
          <w:bCs/>
        </w:rPr>
        <w:t>:</w:t>
      </w:r>
      <w:r>
        <w:rPr>
          <w:bCs/>
          <w:i/>
          <w:iCs/>
        </w:rPr>
        <w:t xml:space="preserve"> </w:t>
      </w:r>
      <w:r>
        <w:t>Výzkumný ústav maltovin Praha s. r. o., IČ 49618377, Centrum technické normalizace, Ing. Lukáš Peřka</w:t>
      </w:r>
    </w:p>
    <w:p w14:paraId="6AAA5FF1" w14:textId="2CB02945" w:rsidR="00ED6C91" w:rsidRDefault="00ED6C91" w:rsidP="00ED6C91">
      <w:pPr>
        <w:pStyle w:val="Textnormy"/>
        <w:rPr>
          <w:bCs/>
          <w:i/>
          <w:iCs/>
        </w:rPr>
      </w:pPr>
      <w:r>
        <w:t>Technická normalizační komise: TNK 39 Maltovinová pojiva, vápence a sádrovce</w:t>
      </w:r>
    </w:p>
    <w:p w14:paraId="252F7DD7" w14:textId="1E4E5587" w:rsidR="00ED6C91" w:rsidRPr="003E5200" w:rsidRDefault="00ED6C91" w:rsidP="00ED6C91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13" w:history="1">
        <w:r w:rsidR="00A7392F">
          <w:rPr>
            <w:rStyle w:val="Hypertextovodkaz"/>
          </w:rPr>
          <w:t>Česká agentura pro standardizaci, státní příspěvková organizace</w:t>
        </w:r>
      </w:hyperlink>
    </w:p>
    <w:p w14:paraId="29FB5A0D" w14:textId="6408B4BC" w:rsidR="00ED6C91" w:rsidRDefault="00ED6C91" w:rsidP="00ED6C91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A7392F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14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6BC3BFAB" w14:textId="720DD7CF" w:rsidR="00ED6C91" w:rsidRPr="00A2188B" w:rsidRDefault="00ED6C91" w:rsidP="00A55074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1CFA5467" w14:textId="77777777" w:rsidR="00A55074" w:rsidRPr="00A2188B" w:rsidRDefault="00A55074" w:rsidP="00A55074">
      <w:pPr>
        <w:pStyle w:val="EvropNorma"/>
        <w:tabs>
          <w:tab w:val="left" w:pos="8222"/>
        </w:tabs>
        <w:rPr>
          <w:b w:val="0"/>
          <w:sz w:val="20"/>
        </w:rPr>
      </w:pPr>
      <w:r w:rsidRPr="00A2188B">
        <w:lastRenderedPageBreak/>
        <w:t>EVROPSKÁ NORMA</w:t>
      </w:r>
      <w:r w:rsidRPr="00A2188B">
        <w:tab/>
        <w:t>EN 13963</w:t>
      </w:r>
      <w:r w:rsidRPr="00A2188B">
        <w:br/>
        <w:t>EUROPEAN STANDARD</w:t>
      </w:r>
      <w:r w:rsidRPr="00A2188B">
        <w:tab/>
      </w:r>
      <w:r w:rsidRPr="00A2188B">
        <w:br/>
        <w:t>NORME EUROPÉENNE</w:t>
      </w:r>
      <w:r w:rsidRPr="00A2188B">
        <w:br/>
        <w:t>EUROPÄISCHE NORM</w:t>
      </w:r>
      <w:r w:rsidRPr="00A2188B">
        <w:tab/>
      </w:r>
      <w:r w:rsidRPr="00A2188B">
        <w:rPr>
          <w:b w:val="0"/>
          <w:sz w:val="20"/>
        </w:rPr>
        <w:t>Červenec 2014</w:t>
      </w:r>
    </w:p>
    <w:p w14:paraId="4A84C803" w14:textId="037C9D10" w:rsidR="00A55074" w:rsidRPr="00A2188B" w:rsidRDefault="00A55074" w:rsidP="00A55074">
      <w:pPr>
        <w:pStyle w:val="ICS"/>
      </w:pPr>
      <w:r w:rsidRPr="00A2188B">
        <w:t xml:space="preserve">ICS 91.100.10 </w:t>
      </w:r>
      <w:r w:rsidRPr="00A2188B">
        <w:tab/>
        <w:t>Nahrazuje EN</w:t>
      </w:r>
      <w:r w:rsidR="005E1156">
        <w:t> </w:t>
      </w:r>
      <w:r w:rsidRPr="00A2188B">
        <w:t>13963:2005</w:t>
      </w:r>
    </w:p>
    <w:p w14:paraId="62F9F7B3" w14:textId="77777777" w:rsidR="00A55074" w:rsidRPr="00A2188B" w:rsidRDefault="00A55074" w:rsidP="00A55074">
      <w:pPr>
        <w:pStyle w:val="NzNorCZ"/>
      </w:pPr>
      <w:r w:rsidRPr="00A2188B">
        <w:t>Spárovací materiály pro sádrové desky</w:t>
      </w:r>
      <w:r>
        <w:t xml:space="preserve"> – </w:t>
      </w:r>
      <w:r w:rsidRPr="00A2188B">
        <w:br/>
        <w:t>Definice, požadavky a</w:t>
      </w:r>
      <w:r>
        <w:t> </w:t>
      </w:r>
      <w:r w:rsidRPr="00A2188B">
        <w:t>zkušební metody</w:t>
      </w:r>
    </w:p>
    <w:p w14:paraId="2AA07B59" w14:textId="77777777" w:rsidR="00A55074" w:rsidRPr="00A2188B" w:rsidRDefault="00A55074" w:rsidP="00A55074">
      <w:pPr>
        <w:pStyle w:val="NzNorUS"/>
      </w:pPr>
      <w:r w:rsidRPr="00A2188B">
        <w:rPr>
          <w:lang w:val="en-US"/>
        </w:rPr>
        <w:t>Jointing materials for gypsum boards</w:t>
      </w:r>
      <w:r>
        <w:rPr>
          <w:lang w:val="en-US"/>
        </w:rPr>
        <w:t xml:space="preserve"> – </w:t>
      </w:r>
      <w:r w:rsidRPr="00A2188B">
        <w:rPr>
          <w:lang w:val="en-US"/>
        </w:rPr>
        <w:br/>
        <w:t>Definitions, requirements and test methods</w:t>
      </w:r>
      <w:r w:rsidRPr="00A2188B">
        <w:rPr>
          <w:lang w:val="cs-CZ"/>
        </w:rPr>
        <w:t> 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90"/>
        <w:gridCol w:w="5103"/>
      </w:tblGrid>
      <w:tr w:rsidR="00A55074" w:rsidRPr="00A2188B" w14:paraId="59F027A7" w14:textId="77777777" w:rsidTr="00343611">
        <w:tc>
          <w:tcPr>
            <w:tcW w:w="4890" w:type="dxa"/>
          </w:tcPr>
          <w:p w14:paraId="69A8DFB1" w14:textId="77777777" w:rsidR="00A55074" w:rsidRPr="00A2188B" w:rsidRDefault="00A55074" w:rsidP="00343611">
            <w:pPr>
              <w:pStyle w:val="NzNorFraGer"/>
              <w:rPr>
                <w:kern w:val="28"/>
                <w:lang w:val="fr-FR"/>
              </w:rPr>
            </w:pPr>
            <w:r w:rsidRPr="00A2188B">
              <w:rPr>
                <w:lang w:val="fr-FR"/>
              </w:rPr>
              <w:t>Matériaux de jointoiement pour plaques de pl</w:t>
            </w:r>
            <w:r w:rsidRPr="00A2188B">
              <w:rPr>
                <w:rFonts w:cs="Arial"/>
                <w:lang w:val="fr-FR"/>
              </w:rPr>
              <w:t>â</w:t>
            </w:r>
            <w:r w:rsidRPr="00A2188B">
              <w:rPr>
                <w:lang w:val="fr-FR"/>
              </w:rPr>
              <w:t>tre</w:t>
            </w:r>
            <w:r>
              <w:rPr>
                <w:lang w:val="fr-FR"/>
              </w:rPr>
              <w:t xml:space="preserve"> – </w:t>
            </w:r>
            <w:r w:rsidRPr="00A2188B">
              <w:rPr>
                <w:lang w:val="fr-FR"/>
              </w:rPr>
              <w:t>Définitions, exigences et méthodes d'essai</w:t>
            </w:r>
          </w:p>
        </w:tc>
        <w:tc>
          <w:tcPr>
            <w:tcW w:w="5103" w:type="dxa"/>
          </w:tcPr>
          <w:p w14:paraId="0E9A8BC1" w14:textId="77777777" w:rsidR="00A55074" w:rsidRPr="00A2188B" w:rsidRDefault="00A55074" w:rsidP="00343611">
            <w:pPr>
              <w:pStyle w:val="NzNorFraGer"/>
              <w:rPr>
                <w:kern w:val="28"/>
              </w:rPr>
            </w:pPr>
            <w:r w:rsidRPr="00A2188B">
              <w:rPr>
                <w:lang w:val="de-DE"/>
              </w:rPr>
              <w:t>Materialen für das Verspachteln von Gipsplattenfugen</w:t>
            </w:r>
            <w:r>
              <w:rPr>
                <w:lang w:val="de-DE"/>
              </w:rPr>
              <w:t xml:space="preserve"> – </w:t>
            </w:r>
            <w:r w:rsidRPr="00A2188B">
              <w:rPr>
                <w:lang w:val="de-DE"/>
              </w:rPr>
              <w:t>Begriffe, Anforderungen und Prüfverfahren</w:t>
            </w:r>
          </w:p>
        </w:tc>
      </w:tr>
    </w:tbl>
    <w:p w14:paraId="6D2E28E0" w14:textId="77777777" w:rsidR="00A55074" w:rsidRPr="00A2188B" w:rsidRDefault="00A55074" w:rsidP="00A55074">
      <w:pPr>
        <w:pStyle w:val="Textnormy"/>
        <w:rPr>
          <w:kern w:val="28"/>
        </w:rPr>
      </w:pPr>
      <w:bookmarkStart w:id="1" w:name="_Toc359251362"/>
      <w:bookmarkStart w:id="2" w:name="_Toc359251520"/>
      <w:bookmarkStart w:id="3" w:name="_Toc359251680"/>
      <w:bookmarkStart w:id="4" w:name="_Toc359251937"/>
      <w:bookmarkStart w:id="5" w:name="_Toc359252126"/>
      <w:bookmarkStart w:id="6" w:name="_Toc359252241"/>
      <w:bookmarkStart w:id="7" w:name="_Toc359252484"/>
      <w:bookmarkStart w:id="8" w:name="_Toc359252724"/>
      <w:bookmarkStart w:id="9" w:name="_Toc359252845"/>
      <w:bookmarkStart w:id="10" w:name="_Toc359252919"/>
      <w:bookmarkStart w:id="11" w:name="_Toc359283645"/>
      <w:bookmarkStart w:id="12" w:name="_Toc365965545"/>
      <w:bookmarkStart w:id="13" w:name="_Toc365967312"/>
      <w:bookmarkStart w:id="14" w:name="_Toc365968759"/>
      <w:bookmarkStart w:id="15" w:name="_Toc367082924"/>
      <w:bookmarkStart w:id="16" w:name="_Toc372429539"/>
      <w:bookmarkStart w:id="17" w:name="_Toc375302773"/>
      <w:bookmarkStart w:id="18" w:name="_Toc379098930"/>
      <w:r w:rsidRPr="00A2188B">
        <w:rPr>
          <w:kern w:val="28"/>
        </w:rPr>
        <w:t>Tato evropská norma byla schválena CEN dne 2014-05-22.</w:t>
      </w:r>
    </w:p>
    <w:p w14:paraId="1EE31934" w14:textId="77777777" w:rsidR="00A55074" w:rsidRPr="00A2188B" w:rsidRDefault="00A55074" w:rsidP="00A55074">
      <w:pPr>
        <w:pStyle w:val="Textnormy"/>
      </w:pPr>
      <w:r>
        <w:t xml:space="preserve">Členové CEN jsou povinni splnit vnitřní předpisy CEN/CENELEC, v nichž jsou stanoveny podmínky, </w:t>
      </w:r>
      <w:r w:rsidRPr="006B4E66">
        <w:t>za kterých se této evropské normě bez jakýchkoliv modifikací uděluje status národní normy</w:t>
      </w:r>
      <w:r>
        <w:t xml:space="preserve">. Aktualizované seznamy </w:t>
      </w:r>
      <w:r w:rsidRPr="00DF71E8">
        <w:rPr>
          <w:spacing w:val="-4"/>
        </w:rPr>
        <w:t>a</w:t>
      </w:r>
      <w:r>
        <w:rPr>
          <w:spacing w:val="-4"/>
        </w:rPr>
        <w:t> </w:t>
      </w:r>
      <w:r w:rsidRPr="00DF71E8">
        <w:rPr>
          <w:spacing w:val="-4"/>
        </w:rPr>
        <w:t>bibliografické citace týkající se těchto národních norem lze obdržet na vyžádání v</w:t>
      </w:r>
      <w:r>
        <w:rPr>
          <w:spacing w:val="-4"/>
        </w:rPr>
        <w:t> </w:t>
      </w:r>
      <w:r w:rsidRPr="00DF71E8">
        <w:rPr>
          <w:spacing w:val="-4"/>
        </w:rPr>
        <w:t>Řídicím centru CEN-CENELEC</w:t>
      </w:r>
      <w:r>
        <w:t xml:space="preserve"> nebo u kteréhokoliv člena CEN.</w:t>
      </w:r>
    </w:p>
    <w:p w14:paraId="094AB53D" w14:textId="77777777" w:rsidR="00A55074" w:rsidRPr="00A2188B" w:rsidRDefault="00A55074" w:rsidP="00A55074">
      <w:pPr>
        <w:pStyle w:val="Textnormy"/>
      </w:pPr>
      <w:r>
        <w:t>Tato evropská norma existuje ve třech oficiálních verzích (anglické, francouzské, německé). Verze v každém jiném jazyce přeložená členem CEN do jeho vlastního jazyka, za kterou zodpovídá a kterou notifikuje Řídicímu centru CEN-CENELEC, má stejný status jako oficiální verze.</w:t>
      </w:r>
    </w:p>
    <w:p w14:paraId="1217945E" w14:textId="43E2A89D" w:rsidR="00A55074" w:rsidRPr="00F23E8F" w:rsidRDefault="00A55074" w:rsidP="00A55074">
      <w:pPr>
        <w:pStyle w:val="Textnormy"/>
      </w:pPr>
      <w:r w:rsidRPr="00F23E8F">
        <w:t xml:space="preserve">Členy CEN jsou národní normalizační orgány Belgie, Bulharska, České republiky, Dánska, Estonska, Finska, Francie, Chorvatska, Irska, Islandu, Itálie, Kypru, Litvy, Lotyšska, Lucemburska, Maďarska, Malty, Německa, </w:t>
      </w:r>
      <w:r w:rsidR="00F23E8F">
        <w:br/>
      </w:r>
      <w:r w:rsidRPr="00F23E8F">
        <w:t>Nizozemska, Norska, Polska, Portugalska, Rakouska, Republiky Severní Makedonie, Rumunska, Řecka, Slovenska, Slovinska, Spojeného království, Srbska, Španělska, Švédska, Švýcarska a Turecka.</w:t>
      </w:r>
    </w:p>
    <w:p w14:paraId="2DA39E42" w14:textId="77777777" w:rsidR="00A55074" w:rsidRDefault="00A55074" w:rsidP="00A55074">
      <w:pPr>
        <w:pStyle w:val="Textnormy"/>
        <w:framePr w:hSpace="142" w:wrap="around" w:hAnchor="page" w:x="1022" w:yAlign="bottom"/>
        <w:spacing w:before="60" w:after="0"/>
        <w:jc w:val="center"/>
        <w:rPr>
          <w:b/>
          <w:sz w:val="24"/>
        </w:rPr>
      </w:pPr>
      <w:r>
        <w:t xml:space="preserve"> </w:t>
      </w:r>
      <w:r w:rsidRPr="00AA7CB9">
        <w:rPr>
          <w:noProof/>
        </w:rPr>
        <w:drawing>
          <wp:inline distT="0" distB="0" distL="0" distR="0" wp14:anchorId="7B042450" wp14:editId="68F20DAB">
            <wp:extent cx="1013460" cy="807720"/>
            <wp:effectExtent l="0" t="0" r="0" b="0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4" t="4073" r="3304" b="4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460" cy="80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78FB2815" w14:textId="77777777" w:rsidR="00A55074" w:rsidRDefault="00A55074" w:rsidP="00A55074">
      <w:pPr>
        <w:pStyle w:val="Textnormy"/>
        <w:framePr w:hSpace="142" w:wrap="around" w:hAnchor="page" w:x="1022" w:yAlign="bottom"/>
        <w:spacing w:before="60" w:after="0"/>
        <w:jc w:val="center"/>
        <w:rPr>
          <w:b/>
        </w:rPr>
      </w:pPr>
      <w:r>
        <w:rPr>
          <w:b/>
        </w:rPr>
        <w:t>Evropský výbor pro normalizaci</w:t>
      </w:r>
    </w:p>
    <w:p w14:paraId="563DB33A" w14:textId="77777777" w:rsidR="00A55074" w:rsidRDefault="00A55074" w:rsidP="00A55074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European Committee for Standardization</w:t>
      </w:r>
    </w:p>
    <w:p w14:paraId="18118CD1" w14:textId="77777777" w:rsidR="00A55074" w:rsidRDefault="00A55074" w:rsidP="00A55074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Comité Européen de Normalisation</w:t>
      </w:r>
    </w:p>
    <w:p w14:paraId="7453F21C" w14:textId="77777777" w:rsidR="00A55074" w:rsidRDefault="00A55074" w:rsidP="00A55074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Europäisches Komitee für Normung</w:t>
      </w:r>
    </w:p>
    <w:p w14:paraId="537C0140" w14:textId="77777777" w:rsidR="00A55074" w:rsidRDefault="00A55074" w:rsidP="00A55074">
      <w:pPr>
        <w:pStyle w:val="Textnormy"/>
        <w:framePr w:hSpace="142" w:wrap="around" w:hAnchor="page" w:x="1022" w:yAlign="bottom"/>
        <w:spacing w:before="120" w:after="240"/>
        <w:jc w:val="center"/>
        <w:rPr>
          <w:b/>
        </w:rPr>
      </w:pPr>
      <w:r>
        <w:rPr>
          <w:b/>
        </w:rPr>
        <w:t xml:space="preserve">Řídicí centrum CEN-CENELEC: </w:t>
      </w:r>
      <w:r w:rsidRPr="0096314A">
        <w:rPr>
          <w:rFonts w:cs="Arial"/>
          <w:b/>
          <w:color w:val="000000"/>
        </w:rPr>
        <w:t>Rue de la Science 23, B-1040 Brusel</w:t>
      </w:r>
    </w:p>
    <w:p w14:paraId="5748CF70" w14:textId="77777777" w:rsidR="00A55074" w:rsidRDefault="00A55074" w:rsidP="00A55074">
      <w:pPr>
        <w:pStyle w:val="Poznmka"/>
        <w:framePr w:hSpace="142" w:wrap="around" w:hAnchor="page" w:x="1022" w:yAlign="bottom"/>
        <w:pBdr>
          <w:top w:val="single" w:sz="6" w:space="6" w:color="auto"/>
        </w:pBdr>
        <w:tabs>
          <w:tab w:val="right" w:pos="9923"/>
        </w:tabs>
        <w:spacing w:before="0" w:after="120"/>
        <w:ind w:left="1418" w:hanging="1418"/>
        <w:rPr>
          <w:b/>
        </w:rPr>
      </w:pPr>
      <w:r>
        <w:sym w:font="Times New Roman" w:char="00A9"/>
      </w:r>
      <w:r>
        <w:t xml:space="preserve"> 2014 CEN</w:t>
      </w:r>
      <w:r>
        <w:tab/>
        <w:t xml:space="preserve">Veškerá práva pro využití v jakékoliv formě a jakýmikoliv prostředky </w:t>
      </w:r>
      <w:r>
        <w:tab/>
        <w:t>Ref. č. EN 13963:2014 E</w:t>
      </w:r>
      <w:r>
        <w:br/>
        <w:t>jsou celosvětově vyhrazena národním členům CEN.</w:t>
      </w:r>
    </w:p>
    <w:p w14:paraId="1F4AD7B4" w14:textId="77777777" w:rsidR="00A55074" w:rsidRPr="00A2188B" w:rsidRDefault="00A55074" w:rsidP="00A55074">
      <w:pPr>
        <w:pStyle w:val="Textnormy"/>
      </w:pPr>
    </w:p>
    <w:p w14:paraId="1541C9F8" w14:textId="77777777" w:rsidR="00A55074" w:rsidRPr="00A2188B" w:rsidRDefault="00A55074" w:rsidP="00A55074">
      <w:pPr>
        <w:pStyle w:val="Nadpiskapitoly"/>
        <w:pageBreakBefore/>
        <w:spacing w:before="0"/>
      </w:pPr>
      <w:r w:rsidRPr="00A2188B">
        <w:lastRenderedPageBreak/>
        <w:t>Obsah</w:t>
      </w:r>
    </w:p>
    <w:p w14:paraId="17EDDDB4" w14:textId="77777777" w:rsidR="00A55074" w:rsidRPr="00A2188B" w:rsidRDefault="00A55074" w:rsidP="00A55074">
      <w:pPr>
        <w:pStyle w:val="Textnormy"/>
        <w:ind w:right="-1"/>
        <w:jc w:val="right"/>
        <w:rPr>
          <w:sz w:val="18"/>
        </w:rPr>
      </w:pPr>
      <w:r w:rsidRPr="00A2188B">
        <w:rPr>
          <w:sz w:val="18"/>
        </w:rPr>
        <w:t>Strana</w:t>
      </w:r>
    </w:p>
    <w:p w14:paraId="1B5EF51F" w14:textId="77777777" w:rsidR="00A55074" w:rsidRPr="005D31E7" w:rsidRDefault="00A55074" w:rsidP="00A55074">
      <w:pPr>
        <w:pStyle w:val="Obsah1"/>
        <w:rPr>
          <w:rFonts w:ascii="Times New Roman" w:hAnsi="Times New Roman"/>
          <w:szCs w:val="18"/>
        </w:rPr>
      </w:pPr>
      <w:r w:rsidRPr="005D31E7">
        <w:rPr>
          <w:szCs w:val="18"/>
        </w:rPr>
        <w:fldChar w:fldCharType="begin"/>
      </w:r>
      <w:r w:rsidRPr="005D31E7">
        <w:rPr>
          <w:szCs w:val="18"/>
        </w:rPr>
        <w:instrText xml:space="preserve"> TOC \o "1-2" \h \z \u </w:instrText>
      </w:r>
      <w:r w:rsidRPr="005D31E7">
        <w:rPr>
          <w:szCs w:val="18"/>
        </w:rPr>
        <w:fldChar w:fldCharType="separate"/>
      </w:r>
      <w:hyperlink w:anchor="_Toc396308486" w:history="1">
        <w:r>
          <w:rPr>
            <w:rStyle w:val="Hypertextovodkaz"/>
            <w:szCs w:val="18"/>
          </w:rPr>
          <w:t>Evropská p</w:t>
        </w:r>
        <w:r w:rsidRPr="005D31E7">
          <w:rPr>
            <w:rStyle w:val="Hypertextovodkaz"/>
            <w:szCs w:val="18"/>
          </w:rPr>
          <w:t>ředmluva</w:t>
        </w:r>
        <w:r w:rsidRPr="005D31E7">
          <w:rPr>
            <w:webHidden/>
            <w:szCs w:val="18"/>
          </w:rPr>
          <w:tab/>
        </w:r>
        <w:r w:rsidRPr="005D31E7">
          <w:rPr>
            <w:webHidden/>
            <w:szCs w:val="18"/>
          </w:rPr>
          <w:fldChar w:fldCharType="begin"/>
        </w:r>
        <w:r w:rsidRPr="005D31E7">
          <w:rPr>
            <w:webHidden/>
            <w:szCs w:val="18"/>
          </w:rPr>
          <w:instrText xml:space="preserve"> PAGEREF _Toc396308486 \h </w:instrText>
        </w:r>
        <w:r w:rsidRPr="005D31E7">
          <w:rPr>
            <w:webHidden/>
            <w:szCs w:val="18"/>
          </w:rPr>
        </w:r>
        <w:r w:rsidRPr="005D31E7">
          <w:rPr>
            <w:webHidden/>
            <w:szCs w:val="18"/>
          </w:rPr>
          <w:fldChar w:fldCharType="separate"/>
        </w:r>
        <w:r>
          <w:rPr>
            <w:webHidden/>
            <w:szCs w:val="18"/>
          </w:rPr>
          <w:t>5</w:t>
        </w:r>
        <w:r w:rsidRPr="005D31E7">
          <w:rPr>
            <w:webHidden/>
            <w:szCs w:val="18"/>
          </w:rPr>
          <w:fldChar w:fldCharType="end"/>
        </w:r>
      </w:hyperlink>
    </w:p>
    <w:p w14:paraId="24EE589E" w14:textId="77777777" w:rsidR="00A55074" w:rsidRPr="005D31E7" w:rsidRDefault="00A55074" w:rsidP="00A55074">
      <w:pPr>
        <w:pStyle w:val="Obsah1"/>
        <w:rPr>
          <w:rFonts w:ascii="Times New Roman" w:hAnsi="Times New Roman"/>
          <w:szCs w:val="18"/>
        </w:rPr>
      </w:pPr>
      <w:hyperlink w:anchor="_Toc396308487" w:history="1">
        <w:r w:rsidRPr="005D31E7">
          <w:rPr>
            <w:rStyle w:val="Hypertextovodkaz"/>
            <w:b/>
            <w:szCs w:val="18"/>
          </w:rPr>
          <w:t>1</w:t>
        </w:r>
        <w:r w:rsidRPr="005D31E7">
          <w:rPr>
            <w:rStyle w:val="Hypertextovodkaz"/>
            <w:szCs w:val="18"/>
          </w:rPr>
          <w:tab/>
          <w:t>Předmět normy</w:t>
        </w:r>
        <w:r w:rsidRPr="005D31E7">
          <w:rPr>
            <w:webHidden/>
            <w:szCs w:val="18"/>
          </w:rPr>
          <w:tab/>
        </w:r>
        <w:r w:rsidRPr="005D31E7">
          <w:rPr>
            <w:webHidden/>
            <w:szCs w:val="18"/>
          </w:rPr>
          <w:fldChar w:fldCharType="begin"/>
        </w:r>
        <w:r w:rsidRPr="005D31E7">
          <w:rPr>
            <w:webHidden/>
            <w:szCs w:val="18"/>
          </w:rPr>
          <w:instrText xml:space="preserve"> PAGEREF _Toc396308487 \h </w:instrText>
        </w:r>
        <w:r w:rsidRPr="005D31E7">
          <w:rPr>
            <w:webHidden/>
            <w:szCs w:val="18"/>
          </w:rPr>
        </w:r>
        <w:r w:rsidRPr="005D31E7">
          <w:rPr>
            <w:webHidden/>
            <w:szCs w:val="18"/>
          </w:rPr>
          <w:fldChar w:fldCharType="separate"/>
        </w:r>
        <w:r>
          <w:rPr>
            <w:webHidden/>
            <w:szCs w:val="18"/>
          </w:rPr>
          <w:t>6</w:t>
        </w:r>
        <w:r w:rsidRPr="005D31E7">
          <w:rPr>
            <w:webHidden/>
            <w:szCs w:val="18"/>
          </w:rPr>
          <w:fldChar w:fldCharType="end"/>
        </w:r>
      </w:hyperlink>
    </w:p>
    <w:p w14:paraId="66CA5B45" w14:textId="77777777" w:rsidR="00A55074" w:rsidRPr="005D31E7" w:rsidRDefault="00A55074" w:rsidP="00A55074">
      <w:pPr>
        <w:pStyle w:val="Obsah1"/>
        <w:rPr>
          <w:rFonts w:ascii="Times New Roman" w:hAnsi="Times New Roman"/>
          <w:szCs w:val="18"/>
        </w:rPr>
      </w:pPr>
      <w:hyperlink w:anchor="_Toc396308488" w:history="1">
        <w:r w:rsidRPr="005D31E7">
          <w:rPr>
            <w:rStyle w:val="Hypertextovodkaz"/>
            <w:b/>
            <w:szCs w:val="18"/>
          </w:rPr>
          <w:t>2</w:t>
        </w:r>
        <w:r w:rsidRPr="005D31E7">
          <w:rPr>
            <w:rStyle w:val="Hypertextovodkaz"/>
            <w:szCs w:val="18"/>
          </w:rPr>
          <w:tab/>
          <w:t>Citované dokumenty</w:t>
        </w:r>
        <w:r w:rsidRPr="005D31E7">
          <w:rPr>
            <w:webHidden/>
            <w:szCs w:val="18"/>
          </w:rPr>
          <w:tab/>
        </w:r>
        <w:r w:rsidRPr="005D31E7">
          <w:rPr>
            <w:webHidden/>
            <w:szCs w:val="18"/>
          </w:rPr>
          <w:fldChar w:fldCharType="begin"/>
        </w:r>
        <w:r w:rsidRPr="005D31E7">
          <w:rPr>
            <w:webHidden/>
            <w:szCs w:val="18"/>
          </w:rPr>
          <w:instrText xml:space="preserve"> PAGEREF _Toc396308488 \h </w:instrText>
        </w:r>
        <w:r w:rsidRPr="005D31E7">
          <w:rPr>
            <w:webHidden/>
            <w:szCs w:val="18"/>
          </w:rPr>
        </w:r>
        <w:r w:rsidRPr="005D31E7">
          <w:rPr>
            <w:webHidden/>
            <w:szCs w:val="18"/>
          </w:rPr>
          <w:fldChar w:fldCharType="separate"/>
        </w:r>
        <w:r>
          <w:rPr>
            <w:webHidden/>
            <w:szCs w:val="18"/>
          </w:rPr>
          <w:t>6</w:t>
        </w:r>
        <w:r w:rsidRPr="005D31E7">
          <w:rPr>
            <w:webHidden/>
            <w:szCs w:val="18"/>
          </w:rPr>
          <w:fldChar w:fldCharType="end"/>
        </w:r>
      </w:hyperlink>
    </w:p>
    <w:p w14:paraId="7C1C56E8" w14:textId="77777777" w:rsidR="00A55074" w:rsidRPr="005D31E7" w:rsidRDefault="00A55074" w:rsidP="00A55074">
      <w:pPr>
        <w:pStyle w:val="Obsah1"/>
        <w:rPr>
          <w:rFonts w:ascii="Times New Roman" w:hAnsi="Times New Roman"/>
          <w:szCs w:val="18"/>
        </w:rPr>
      </w:pPr>
      <w:hyperlink w:anchor="_Toc396308489" w:history="1">
        <w:r w:rsidRPr="005D31E7">
          <w:rPr>
            <w:rStyle w:val="Hypertextovodkaz"/>
            <w:b/>
            <w:szCs w:val="18"/>
          </w:rPr>
          <w:t>3</w:t>
        </w:r>
        <w:r w:rsidRPr="005D31E7">
          <w:rPr>
            <w:rStyle w:val="Hypertextovodkaz"/>
            <w:szCs w:val="18"/>
          </w:rPr>
          <w:tab/>
        </w:r>
        <w:r w:rsidRPr="005D31E7">
          <w:rPr>
            <w:rStyle w:val="Hypertextovodkaz"/>
            <w:rFonts w:eastAsia="Arial Unicode MS" w:cs="Arial"/>
            <w:szCs w:val="18"/>
          </w:rPr>
          <w:t>Termíny, definice, značky, zkratky a</w:t>
        </w:r>
        <w:r>
          <w:rPr>
            <w:rStyle w:val="Hypertextovodkaz"/>
            <w:rFonts w:eastAsia="Arial Unicode MS" w:cs="Arial"/>
            <w:szCs w:val="18"/>
          </w:rPr>
          <w:t> </w:t>
        </w:r>
        <w:r w:rsidRPr="005D31E7">
          <w:rPr>
            <w:rStyle w:val="Hypertextovodkaz"/>
            <w:rFonts w:eastAsia="Arial Unicode MS" w:cs="Arial"/>
            <w:szCs w:val="18"/>
          </w:rPr>
          <w:t>třídění</w:t>
        </w:r>
        <w:r w:rsidRPr="005D31E7">
          <w:rPr>
            <w:webHidden/>
            <w:szCs w:val="18"/>
          </w:rPr>
          <w:tab/>
        </w:r>
        <w:r w:rsidRPr="005D31E7">
          <w:rPr>
            <w:webHidden/>
            <w:szCs w:val="18"/>
          </w:rPr>
          <w:fldChar w:fldCharType="begin"/>
        </w:r>
        <w:r w:rsidRPr="005D31E7">
          <w:rPr>
            <w:webHidden/>
            <w:szCs w:val="18"/>
          </w:rPr>
          <w:instrText xml:space="preserve"> PAGEREF _Toc396308489 \h </w:instrText>
        </w:r>
        <w:r w:rsidRPr="005D31E7">
          <w:rPr>
            <w:webHidden/>
            <w:szCs w:val="18"/>
          </w:rPr>
        </w:r>
        <w:r w:rsidRPr="005D31E7">
          <w:rPr>
            <w:webHidden/>
            <w:szCs w:val="18"/>
          </w:rPr>
          <w:fldChar w:fldCharType="separate"/>
        </w:r>
        <w:r>
          <w:rPr>
            <w:webHidden/>
            <w:szCs w:val="18"/>
          </w:rPr>
          <w:t>6</w:t>
        </w:r>
        <w:r w:rsidRPr="005D31E7">
          <w:rPr>
            <w:webHidden/>
            <w:szCs w:val="18"/>
          </w:rPr>
          <w:fldChar w:fldCharType="end"/>
        </w:r>
      </w:hyperlink>
    </w:p>
    <w:p w14:paraId="663EF140" w14:textId="77777777" w:rsidR="00A55074" w:rsidRPr="005D31E7" w:rsidRDefault="00A55074" w:rsidP="00A55074">
      <w:pPr>
        <w:pStyle w:val="Obsah2"/>
        <w:rPr>
          <w:rFonts w:ascii="Times New Roman" w:hAnsi="Times New Roman"/>
          <w:szCs w:val="18"/>
        </w:rPr>
      </w:pPr>
      <w:hyperlink w:anchor="_Toc396308490" w:history="1">
        <w:r w:rsidRPr="005D31E7">
          <w:rPr>
            <w:rStyle w:val="Hypertextovodkaz"/>
            <w:b/>
            <w:szCs w:val="18"/>
          </w:rPr>
          <w:t>3.1</w:t>
        </w:r>
        <w:r w:rsidRPr="005D31E7">
          <w:rPr>
            <w:rStyle w:val="Hypertextovodkaz"/>
            <w:szCs w:val="18"/>
          </w:rPr>
          <w:tab/>
          <w:t>Termíny a</w:t>
        </w:r>
        <w:r>
          <w:rPr>
            <w:rStyle w:val="Hypertextovodkaz"/>
            <w:szCs w:val="18"/>
          </w:rPr>
          <w:t> </w:t>
        </w:r>
        <w:r w:rsidRPr="005D31E7">
          <w:rPr>
            <w:rStyle w:val="Hypertextovodkaz"/>
            <w:szCs w:val="18"/>
          </w:rPr>
          <w:t>definice výrobku</w:t>
        </w:r>
        <w:r w:rsidRPr="005D31E7">
          <w:rPr>
            <w:webHidden/>
            <w:szCs w:val="18"/>
          </w:rPr>
          <w:tab/>
        </w:r>
        <w:r w:rsidRPr="005D31E7">
          <w:rPr>
            <w:webHidden/>
            <w:szCs w:val="18"/>
          </w:rPr>
          <w:fldChar w:fldCharType="begin"/>
        </w:r>
        <w:r w:rsidRPr="005D31E7">
          <w:rPr>
            <w:webHidden/>
            <w:szCs w:val="18"/>
          </w:rPr>
          <w:instrText xml:space="preserve"> PAGEREF _Toc396308490 \h </w:instrText>
        </w:r>
        <w:r w:rsidRPr="005D31E7">
          <w:rPr>
            <w:webHidden/>
            <w:szCs w:val="18"/>
          </w:rPr>
        </w:r>
        <w:r w:rsidRPr="005D31E7">
          <w:rPr>
            <w:webHidden/>
            <w:szCs w:val="18"/>
          </w:rPr>
          <w:fldChar w:fldCharType="separate"/>
        </w:r>
        <w:r>
          <w:rPr>
            <w:webHidden/>
            <w:szCs w:val="18"/>
          </w:rPr>
          <w:t>6</w:t>
        </w:r>
        <w:r w:rsidRPr="005D31E7">
          <w:rPr>
            <w:webHidden/>
            <w:szCs w:val="18"/>
          </w:rPr>
          <w:fldChar w:fldCharType="end"/>
        </w:r>
      </w:hyperlink>
    </w:p>
    <w:p w14:paraId="17B9FE8B" w14:textId="77777777" w:rsidR="00A55074" w:rsidRPr="005D31E7" w:rsidRDefault="00A55074" w:rsidP="00A55074">
      <w:pPr>
        <w:pStyle w:val="Obsah2"/>
        <w:rPr>
          <w:rFonts w:ascii="Times New Roman" w:hAnsi="Times New Roman"/>
          <w:szCs w:val="18"/>
        </w:rPr>
      </w:pPr>
      <w:hyperlink w:anchor="_Toc396308491" w:history="1">
        <w:r w:rsidRPr="005D31E7">
          <w:rPr>
            <w:rStyle w:val="Hypertextovodkaz"/>
            <w:rFonts w:eastAsia="Arial Unicode MS"/>
            <w:b/>
            <w:szCs w:val="18"/>
          </w:rPr>
          <w:t>3.2</w:t>
        </w:r>
        <w:r w:rsidRPr="005D31E7">
          <w:rPr>
            <w:rStyle w:val="Hypertextovodkaz"/>
            <w:rFonts w:eastAsia="Arial Unicode MS"/>
            <w:szCs w:val="18"/>
          </w:rPr>
          <w:tab/>
          <w:t>Značky a</w:t>
        </w:r>
        <w:r>
          <w:rPr>
            <w:rStyle w:val="Hypertextovodkaz"/>
            <w:rFonts w:eastAsia="Arial Unicode MS"/>
            <w:szCs w:val="18"/>
          </w:rPr>
          <w:t> </w:t>
        </w:r>
        <w:r w:rsidRPr="005D31E7">
          <w:rPr>
            <w:rStyle w:val="Hypertextovodkaz"/>
            <w:rFonts w:eastAsia="Arial Unicode MS"/>
            <w:szCs w:val="18"/>
          </w:rPr>
          <w:t>zkratky</w:t>
        </w:r>
        <w:r w:rsidRPr="005D31E7">
          <w:rPr>
            <w:webHidden/>
            <w:szCs w:val="18"/>
          </w:rPr>
          <w:tab/>
        </w:r>
        <w:r w:rsidRPr="005D31E7">
          <w:rPr>
            <w:webHidden/>
            <w:szCs w:val="18"/>
          </w:rPr>
          <w:fldChar w:fldCharType="begin"/>
        </w:r>
        <w:r w:rsidRPr="005D31E7">
          <w:rPr>
            <w:webHidden/>
            <w:szCs w:val="18"/>
          </w:rPr>
          <w:instrText xml:space="preserve"> PAGEREF _Toc396308491 \h </w:instrText>
        </w:r>
        <w:r w:rsidRPr="005D31E7">
          <w:rPr>
            <w:webHidden/>
            <w:szCs w:val="18"/>
          </w:rPr>
        </w:r>
        <w:r w:rsidRPr="005D31E7">
          <w:rPr>
            <w:webHidden/>
            <w:szCs w:val="18"/>
          </w:rPr>
          <w:fldChar w:fldCharType="separate"/>
        </w:r>
        <w:r>
          <w:rPr>
            <w:webHidden/>
            <w:szCs w:val="18"/>
          </w:rPr>
          <w:t>6</w:t>
        </w:r>
        <w:r w:rsidRPr="005D31E7">
          <w:rPr>
            <w:webHidden/>
            <w:szCs w:val="18"/>
          </w:rPr>
          <w:fldChar w:fldCharType="end"/>
        </w:r>
      </w:hyperlink>
    </w:p>
    <w:p w14:paraId="5566C940" w14:textId="77777777" w:rsidR="00A55074" w:rsidRPr="005D31E7" w:rsidRDefault="00A55074" w:rsidP="00A55074">
      <w:pPr>
        <w:pStyle w:val="Obsah1"/>
        <w:rPr>
          <w:rFonts w:ascii="Times New Roman" w:hAnsi="Times New Roman"/>
          <w:szCs w:val="18"/>
        </w:rPr>
      </w:pPr>
      <w:hyperlink w:anchor="_Toc396308542" w:history="1">
        <w:r w:rsidRPr="005D31E7">
          <w:rPr>
            <w:rStyle w:val="Hypertextovodkaz"/>
            <w:b/>
            <w:szCs w:val="18"/>
          </w:rPr>
          <w:t>6</w:t>
        </w:r>
        <w:r w:rsidRPr="005D31E7">
          <w:rPr>
            <w:rStyle w:val="Hypertextovodkaz"/>
            <w:szCs w:val="18"/>
          </w:rPr>
          <w:tab/>
          <w:t>Posuzování a</w:t>
        </w:r>
        <w:r>
          <w:rPr>
            <w:rStyle w:val="Hypertextovodkaz"/>
            <w:szCs w:val="18"/>
          </w:rPr>
          <w:t> </w:t>
        </w:r>
        <w:r w:rsidRPr="005D31E7">
          <w:rPr>
            <w:rStyle w:val="Hypertextovodkaz"/>
            <w:szCs w:val="18"/>
          </w:rPr>
          <w:t>ověřování stálosti vlastností</w:t>
        </w:r>
        <w:r>
          <w:rPr>
            <w:rStyle w:val="Hypertextovodkaz"/>
            <w:szCs w:val="18"/>
          </w:rPr>
          <w:t xml:space="preserve"> – </w:t>
        </w:r>
        <w:r w:rsidRPr="005D31E7">
          <w:rPr>
            <w:rStyle w:val="Hypertextovodkaz"/>
            <w:szCs w:val="18"/>
          </w:rPr>
          <w:t>AVCP</w:t>
        </w:r>
        <w:r w:rsidRPr="005D31E7">
          <w:rPr>
            <w:webHidden/>
            <w:szCs w:val="18"/>
          </w:rPr>
          <w:tab/>
        </w:r>
        <w:r w:rsidRPr="005D31E7">
          <w:rPr>
            <w:webHidden/>
            <w:szCs w:val="18"/>
          </w:rPr>
          <w:fldChar w:fldCharType="begin"/>
        </w:r>
        <w:r w:rsidRPr="005D31E7">
          <w:rPr>
            <w:webHidden/>
            <w:szCs w:val="18"/>
          </w:rPr>
          <w:instrText xml:space="preserve"> PAGEREF _Toc396308542 \h </w:instrText>
        </w:r>
        <w:r w:rsidRPr="005D31E7">
          <w:rPr>
            <w:webHidden/>
            <w:szCs w:val="18"/>
          </w:rPr>
        </w:r>
        <w:r w:rsidRPr="005D31E7">
          <w:rPr>
            <w:webHidden/>
            <w:szCs w:val="18"/>
          </w:rPr>
          <w:fldChar w:fldCharType="separate"/>
        </w:r>
        <w:r>
          <w:rPr>
            <w:webHidden/>
            <w:szCs w:val="18"/>
          </w:rPr>
          <w:t>7</w:t>
        </w:r>
        <w:r w:rsidRPr="005D31E7">
          <w:rPr>
            <w:webHidden/>
            <w:szCs w:val="18"/>
          </w:rPr>
          <w:fldChar w:fldCharType="end"/>
        </w:r>
      </w:hyperlink>
    </w:p>
    <w:p w14:paraId="63438346" w14:textId="77777777" w:rsidR="00A55074" w:rsidRPr="005D31E7" w:rsidRDefault="00A55074" w:rsidP="00A55074">
      <w:pPr>
        <w:pStyle w:val="Obsah1"/>
        <w:rPr>
          <w:rFonts w:ascii="Times New Roman" w:hAnsi="Times New Roman"/>
          <w:szCs w:val="18"/>
        </w:rPr>
      </w:pPr>
      <w:hyperlink w:anchor="_Toc396308572" w:history="1">
        <w:r w:rsidRPr="005D31E7">
          <w:rPr>
            <w:rStyle w:val="Hypertextovodkaz"/>
            <w:b/>
            <w:szCs w:val="18"/>
          </w:rPr>
          <w:t>Příloha ZA</w:t>
        </w:r>
        <w:r w:rsidRPr="005D31E7">
          <w:rPr>
            <w:rStyle w:val="Hypertextovodkaz"/>
            <w:szCs w:val="18"/>
          </w:rPr>
          <w:t xml:space="preserve"> (informativní) Ustanovení této evropské normy, která se týkají ustanovení nařízení EU o</w:t>
        </w:r>
        <w:r>
          <w:rPr>
            <w:rStyle w:val="Hypertextovodkaz"/>
            <w:szCs w:val="18"/>
          </w:rPr>
          <w:t> </w:t>
        </w:r>
        <w:r w:rsidRPr="005D31E7">
          <w:rPr>
            <w:rStyle w:val="Hypertextovodkaz"/>
            <w:szCs w:val="18"/>
          </w:rPr>
          <w:t>stavebních výrobcích</w:t>
        </w:r>
        <w:r w:rsidRPr="005D31E7">
          <w:rPr>
            <w:rStyle w:val="Hypertextovodkaz"/>
            <w:szCs w:val="18"/>
          </w:rPr>
          <w:tab/>
        </w:r>
        <w:r w:rsidRPr="005D31E7">
          <w:rPr>
            <w:webHidden/>
            <w:szCs w:val="18"/>
          </w:rPr>
          <w:fldChar w:fldCharType="begin"/>
        </w:r>
        <w:r w:rsidRPr="005D31E7">
          <w:rPr>
            <w:webHidden/>
            <w:szCs w:val="18"/>
          </w:rPr>
          <w:instrText xml:space="preserve"> PAGEREF _Toc396308572 \h </w:instrText>
        </w:r>
        <w:r w:rsidRPr="005D31E7">
          <w:rPr>
            <w:webHidden/>
            <w:szCs w:val="18"/>
          </w:rPr>
        </w:r>
        <w:r w:rsidRPr="005D31E7">
          <w:rPr>
            <w:webHidden/>
            <w:szCs w:val="18"/>
          </w:rPr>
          <w:fldChar w:fldCharType="separate"/>
        </w:r>
        <w:r>
          <w:rPr>
            <w:webHidden/>
            <w:szCs w:val="18"/>
          </w:rPr>
          <w:t>8</w:t>
        </w:r>
        <w:r w:rsidRPr="005D31E7">
          <w:rPr>
            <w:webHidden/>
            <w:szCs w:val="18"/>
          </w:rPr>
          <w:fldChar w:fldCharType="end"/>
        </w:r>
      </w:hyperlink>
    </w:p>
    <w:p w14:paraId="30100B44" w14:textId="77777777" w:rsidR="00A55074" w:rsidRPr="005D31E7" w:rsidRDefault="00A55074" w:rsidP="00A55074">
      <w:pPr>
        <w:pStyle w:val="Obsah1"/>
        <w:rPr>
          <w:rFonts w:ascii="Times New Roman" w:hAnsi="Times New Roman"/>
          <w:szCs w:val="18"/>
        </w:rPr>
      </w:pPr>
      <w:hyperlink w:anchor="_Toc396308581" w:history="1">
        <w:r w:rsidRPr="005D31E7">
          <w:rPr>
            <w:rStyle w:val="Hypertextovodkaz"/>
            <w:szCs w:val="18"/>
          </w:rPr>
          <w:t>Bibliografie</w:t>
        </w:r>
        <w:r w:rsidRPr="005D31E7">
          <w:rPr>
            <w:webHidden/>
            <w:szCs w:val="18"/>
          </w:rPr>
          <w:tab/>
        </w:r>
        <w:r w:rsidRPr="005D31E7">
          <w:rPr>
            <w:webHidden/>
            <w:szCs w:val="18"/>
          </w:rPr>
          <w:fldChar w:fldCharType="begin"/>
        </w:r>
        <w:r w:rsidRPr="005D31E7">
          <w:rPr>
            <w:webHidden/>
            <w:szCs w:val="18"/>
          </w:rPr>
          <w:instrText xml:space="preserve"> PAGEREF _Toc396308581 \h </w:instrText>
        </w:r>
        <w:r w:rsidRPr="005D31E7">
          <w:rPr>
            <w:webHidden/>
            <w:szCs w:val="18"/>
          </w:rPr>
        </w:r>
        <w:r w:rsidRPr="005D31E7">
          <w:rPr>
            <w:webHidden/>
            <w:szCs w:val="18"/>
          </w:rPr>
          <w:fldChar w:fldCharType="separate"/>
        </w:r>
        <w:r>
          <w:rPr>
            <w:webHidden/>
            <w:szCs w:val="18"/>
          </w:rPr>
          <w:t>9</w:t>
        </w:r>
        <w:r w:rsidRPr="005D31E7">
          <w:rPr>
            <w:webHidden/>
            <w:szCs w:val="18"/>
          </w:rPr>
          <w:fldChar w:fldCharType="end"/>
        </w:r>
      </w:hyperlink>
    </w:p>
    <w:p w14:paraId="728D0CB0" w14:textId="77777777" w:rsidR="00A55074" w:rsidRPr="00A2188B" w:rsidRDefault="00A55074" w:rsidP="00A55074">
      <w:pPr>
        <w:pStyle w:val="Nadpis1"/>
        <w:spacing w:before="0"/>
      </w:pPr>
      <w:r w:rsidRPr="005D31E7">
        <w:rPr>
          <w:sz w:val="18"/>
          <w:szCs w:val="18"/>
        </w:rPr>
        <w:fldChar w:fldCharType="end"/>
      </w:r>
      <w:bookmarkStart w:id="19" w:name="_Toc380735103"/>
      <w:bookmarkStart w:id="20" w:name="_Toc380735203"/>
      <w:bookmarkStart w:id="21" w:name="_Toc380825387"/>
      <w:bookmarkStart w:id="22" w:name="_Toc380827276"/>
      <w:bookmarkStart w:id="23" w:name="_Toc380886222"/>
      <w:bookmarkStart w:id="24" w:name="_Toc380886260"/>
      <w:bookmarkStart w:id="25" w:name="_Toc380886467"/>
      <w:r w:rsidRPr="00A2188B">
        <w:br w:type="page"/>
      </w:r>
      <w:bookmarkStart w:id="26" w:name="_Toc385338850"/>
      <w:bookmarkStart w:id="27" w:name="_Toc396308486"/>
      <w:r>
        <w:lastRenderedPageBreak/>
        <w:t>Evropská p</w:t>
      </w:r>
      <w:r w:rsidRPr="00A2188B">
        <w:t>ředmluva</w:t>
      </w:r>
      <w:bookmarkEnd w:id="26"/>
      <w:bookmarkEnd w:id="27"/>
    </w:p>
    <w:p w14:paraId="282CA5BD" w14:textId="1B8D1ECA" w:rsidR="00A55074" w:rsidRPr="00A2188B" w:rsidRDefault="00A55074" w:rsidP="00A55074">
      <w:pPr>
        <w:pStyle w:val="Textnormy"/>
      </w:pPr>
      <w:r w:rsidRPr="00A2188B">
        <w:t>Tento dokument (EN</w:t>
      </w:r>
      <w:r w:rsidR="005E1156">
        <w:t> </w:t>
      </w:r>
      <w:r w:rsidRPr="00A2188B">
        <w:t>13963:2014) vypracovala technická komise CEN/TC</w:t>
      </w:r>
      <w:r w:rsidR="005E1156">
        <w:t> </w:t>
      </w:r>
      <w:r w:rsidRPr="00A2188B">
        <w:t xml:space="preserve">241 </w:t>
      </w:r>
      <w:r w:rsidRPr="00A2188B">
        <w:rPr>
          <w:i/>
        </w:rPr>
        <w:t>Sádra a</w:t>
      </w:r>
      <w:r>
        <w:rPr>
          <w:i/>
        </w:rPr>
        <w:t> </w:t>
      </w:r>
      <w:r w:rsidRPr="00A2188B">
        <w:rPr>
          <w:i/>
        </w:rPr>
        <w:t>výrobky ze sádry</w:t>
      </w:r>
      <w:r w:rsidRPr="00A2188B">
        <w:t>, jejíž sekretariát zajišťuje AFNOR.</w:t>
      </w:r>
    </w:p>
    <w:p w14:paraId="53DF096B" w14:textId="77777777" w:rsidR="00A55074" w:rsidRPr="00A2188B" w:rsidRDefault="00A55074" w:rsidP="00A55074">
      <w:pPr>
        <w:pStyle w:val="Textnormy"/>
      </w:pPr>
      <w:r w:rsidRPr="00427282">
        <w:rPr>
          <w:spacing w:val="-2"/>
        </w:rPr>
        <w:t xml:space="preserve">Této evropské normě je nutno nejpozději do ledna 2015 </w:t>
      </w:r>
      <w:r>
        <w:rPr>
          <w:spacing w:val="-2"/>
        </w:rPr>
        <w:t>udělit</w:t>
      </w:r>
      <w:r w:rsidRPr="00427282">
        <w:rPr>
          <w:spacing w:val="-2"/>
        </w:rPr>
        <w:t xml:space="preserve"> status národní normy, a</w:t>
      </w:r>
      <w:r>
        <w:rPr>
          <w:spacing w:val="-2"/>
        </w:rPr>
        <w:t> </w:t>
      </w:r>
      <w:r w:rsidRPr="00427282">
        <w:rPr>
          <w:spacing w:val="-2"/>
        </w:rPr>
        <w:t>to buď vydáním identického</w:t>
      </w:r>
      <w:r w:rsidRPr="00A2188B">
        <w:t xml:space="preserve"> textu, nebo schválením k</w:t>
      </w:r>
      <w:r>
        <w:t> </w:t>
      </w:r>
      <w:r w:rsidRPr="00A2188B">
        <w:t>přímému používání, a</w:t>
      </w:r>
      <w:r>
        <w:t> </w:t>
      </w:r>
      <w:r w:rsidRPr="00A2188B">
        <w:t>národní normy, které jsou s</w:t>
      </w:r>
      <w:r>
        <w:t> </w:t>
      </w:r>
      <w:r w:rsidRPr="00A2188B">
        <w:t>ní v</w:t>
      </w:r>
      <w:r>
        <w:t> </w:t>
      </w:r>
      <w:r w:rsidRPr="00A2188B">
        <w:t>rozporu, je nutno zrušit nejpozději do dubna 2016.</w:t>
      </w:r>
    </w:p>
    <w:p w14:paraId="2E792BD5" w14:textId="77777777" w:rsidR="00A55074" w:rsidRPr="00A2188B" w:rsidRDefault="00A55074" w:rsidP="00A55074">
      <w:pPr>
        <w:pStyle w:val="Textnormy"/>
      </w:pPr>
      <w:r w:rsidRPr="00A2188B">
        <w:t>Upozorňuje se na možnost, že některé prvky tohoto dokumentu mohou být předmětem patentových práv. CEN nelze činit odpovědným za identifikaci jakéhokoliv nebo všech patentových práv.</w:t>
      </w:r>
    </w:p>
    <w:p w14:paraId="79935BAC" w14:textId="113B452E" w:rsidR="00A55074" w:rsidRPr="00A2188B" w:rsidRDefault="00A55074" w:rsidP="00A55074">
      <w:pPr>
        <w:pStyle w:val="Textnormy"/>
      </w:pPr>
      <w:r w:rsidRPr="00A2188B">
        <w:t>Tento dokument nahrazuje EN</w:t>
      </w:r>
      <w:r w:rsidR="005E1156">
        <w:t> </w:t>
      </w:r>
      <w:r w:rsidRPr="00A2188B">
        <w:t>13963:2005.</w:t>
      </w:r>
    </w:p>
    <w:p w14:paraId="2530D8C3" w14:textId="1CD23868" w:rsidR="00A55074" w:rsidRPr="00A2188B" w:rsidRDefault="00A55074" w:rsidP="00A55074">
      <w:pPr>
        <w:pStyle w:val="Textnormy"/>
      </w:pPr>
      <w:r w:rsidRPr="00170258">
        <w:t>Hlavní změny proti předchozímu vydání EN</w:t>
      </w:r>
      <w:r w:rsidR="005E1156">
        <w:t> </w:t>
      </w:r>
      <w:r w:rsidRPr="00170258">
        <w:t>13963:</w:t>
      </w:r>
    </w:p>
    <w:p w14:paraId="5DF86D4E" w14:textId="77777777" w:rsidR="00A55074" w:rsidRPr="00A2188B" w:rsidRDefault="00A55074" w:rsidP="00A55074">
      <w:pPr>
        <w:pStyle w:val="Abecednseznam"/>
      </w:pPr>
      <w:r w:rsidRPr="00A2188B">
        <w:t>aktualizace citovaných dokumentů;</w:t>
      </w:r>
    </w:p>
    <w:p w14:paraId="1E863995" w14:textId="77777777" w:rsidR="00A55074" w:rsidRPr="00A2188B" w:rsidRDefault="00A55074" w:rsidP="00A55074">
      <w:pPr>
        <w:pStyle w:val="Abecednseznam"/>
      </w:pPr>
      <w:bookmarkStart w:id="28" w:name="_Toc313519851"/>
      <w:r w:rsidRPr="00A2188B">
        <w:t>třídy vlastnosti reakce na oheň spárovacích tmelů vysychajících na vzduchu</w:t>
      </w:r>
      <w:bookmarkEnd w:id="28"/>
      <w:r w:rsidRPr="00A2188B">
        <w:t xml:space="preserve"> jsou uvedeny v</w:t>
      </w:r>
      <w:r>
        <w:t> </w:t>
      </w:r>
      <w:r w:rsidRPr="00A2188B">
        <w:t>příloze B;</w:t>
      </w:r>
    </w:p>
    <w:p w14:paraId="1E5BC05A" w14:textId="77777777" w:rsidR="00A55074" w:rsidRPr="00A2188B" w:rsidRDefault="00A55074" w:rsidP="00A55074">
      <w:pPr>
        <w:pStyle w:val="Abecednseznam"/>
      </w:pPr>
      <w:r w:rsidRPr="00A2188B">
        <w:t>zavedení nové kapitoly značky, zkratky a</w:t>
      </w:r>
      <w:r>
        <w:t> </w:t>
      </w:r>
      <w:r w:rsidRPr="00A2188B">
        <w:t>třídění;</w:t>
      </w:r>
    </w:p>
    <w:p w14:paraId="40EF1184" w14:textId="77777777" w:rsidR="00A55074" w:rsidRPr="00170258" w:rsidRDefault="00A55074" w:rsidP="00A55074">
      <w:pPr>
        <w:pStyle w:val="Abecednseznam"/>
      </w:pPr>
      <w:r w:rsidRPr="00A2188B">
        <w:t>příloha ZA a</w:t>
      </w:r>
      <w:r>
        <w:t> </w:t>
      </w:r>
      <w:r w:rsidRPr="00A2188B">
        <w:t>kapitola 6</w:t>
      </w:r>
      <w:r>
        <w:t> </w:t>
      </w:r>
      <w:r w:rsidRPr="00A2188B">
        <w:t xml:space="preserve">jsou upraveny </w:t>
      </w:r>
      <w:r w:rsidRPr="00170258">
        <w:t>v</w:t>
      </w:r>
      <w:r>
        <w:t> </w:t>
      </w:r>
      <w:r w:rsidRPr="00170258">
        <w:t>souladu s</w:t>
      </w:r>
      <w:r>
        <w:t> </w:t>
      </w:r>
      <w:r w:rsidRPr="00170258">
        <w:t>nařízením (EU) č. 305/2011 (CPR);</w:t>
      </w:r>
    </w:p>
    <w:p w14:paraId="2E7FC01C" w14:textId="77777777" w:rsidR="00A55074" w:rsidRPr="00A2188B" w:rsidRDefault="00A55074" w:rsidP="00A55074">
      <w:pPr>
        <w:pStyle w:val="Abecednseznam"/>
      </w:pPr>
      <w:r w:rsidRPr="00A2188B">
        <w:t>text dokumentu je upraven</w:t>
      </w:r>
      <w:r>
        <w:t xml:space="preserve"> edičně</w:t>
      </w:r>
      <w:r w:rsidRPr="00A2188B">
        <w:t>.</w:t>
      </w:r>
    </w:p>
    <w:p w14:paraId="75F9ACC3" w14:textId="77777777" w:rsidR="00A55074" w:rsidRPr="00A2188B" w:rsidRDefault="00A55074" w:rsidP="00A55074">
      <w:pPr>
        <w:pStyle w:val="Textnormy"/>
      </w:pPr>
      <w:r w:rsidRPr="00A2188B">
        <w:t>Tento dokument byl vypracován na základě mandátu uděleného CEN Evropskou komisí a</w:t>
      </w:r>
      <w:r>
        <w:t> </w:t>
      </w:r>
      <w:r w:rsidRPr="00A2188B">
        <w:t>Evropským sdružením volného obchodu a</w:t>
      </w:r>
      <w:r>
        <w:t> </w:t>
      </w:r>
      <w:r w:rsidRPr="00A2188B">
        <w:t>podporuje splnění základních požadavků nařízení (EU) č. 305/2011.</w:t>
      </w:r>
    </w:p>
    <w:p w14:paraId="0665B6B2" w14:textId="77777777" w:rsidR="00A55074" w:rsidRDefault="00A55074" w:rsidP="00A55074">
      <w:pPr>
        <w:pStyle w:val="Textnormy"/>
      </w:pPr>
      <w:r w:rsidRPr="00A2188B">
        <w:t>Vztah k</w:t>
      </w:r>
      <w:r>
        <w:t> </w:t>
      </w:r>
      <w:r w:rsidRPr="00A2188B">
        <w:t>nařízení (EU) č. 305/2011 je uveden v</w:t>
      </w:r>
      <w:r>
        <w:t> </w:t>
      </w:r>
      <w:r w:rsidRPr="00A2188B">
        <w:t>informativní příloze ZA, která je nedílnou součástí tohoto dokumentu.</w:t>
      </w:r>
    </w:p>
    <w:p w14:paraId="071E75E7" w14:textId="77777777" w:rsidR="00A55074" w:rsidRPr="00A2188B" w:rsidRDefault="00A55074" w:rsidP="00A55074">
      <w:pPr>
        <w:pStyle w:val="Textnormy"/>
      </w:pPr>
      <w:r w:rsidRPr="007C4A20">
        <w:rPr>
          <w:rFonts w:cs="Arial"/>
          <w:color w:val="000000"/>
        </w:rPr>
        <w:t>Jakákoli zpětná vazba a</w:t>
      </w:r>
      <w:r>
        <w:rPr>
          <w:rFonts w:cs="Arial"/>
          <w:color w:val="000000"/>
        </w:rPr>
        <w:t> </w:t>
      </w:r>
      <w:r w:rsidRPr="007C4A20">
        <w:rPr>
          <w:rFonts w:cs="Arial"/>
          <w:color w:val="000000"/>
        </w:rPr>
        <w:t>otázky týkající se tohoto dokumentu mají být adresovány národnímu normalizačnímu orgánu uživatele. Úplný seznam těchto orgánů lze nalézt na webových stránkách CEN</w:t>
      </w:r>
      <w:r>
        <w:rPr>
          <w:rFonts w:cs="Arial"/>
          <w:color w:val="000000"/>
        </w:rPr>
        <w:t>.</w:t>
      </w:r>
    </w:p>
    <w:p w14:paraId="369DCAFA" w14:textId="77777777" w:rsidR="00A55074" w:rsidRPr="00427282" w:rsidRDefault="00A55074" w:rsidP="00A55074">
      <w:pPr>
        <w:pStyle w:val="Textnormy"/>
      </w:pPr>
      <w:r w:rsidRPr="00427282">
        <w:t>Podle vnitřních předpisů CEN</w:t>
      </w:r>
      <w:r>
        <w:t>-</w:t>
      </w:r>
      <w:r w:rsidRPr="00427282">
        <w:t xml:space="preserve">CENELEC jsou tuto evropskou normu povinny zavést národní normalizační </w:t>
      </w:r>
      <w:r w:rsidRPr="00427282">
        <w:rPr>
          <w:spacing w:val="-2"/>
        </w:rPr>
        <w:t>organizace následujících zemí: Belgie, Bulharska, České republiky, Dánska,</w:t>
      </w:r>
      <w:r w:rsidRPr="00427282">
        <w:t xml:space="preserve"> Estonska, Finska, Francie, Chorvatska, Irska, Islandu, Itálie, Kypru, Litvy, Lotyšska, Lucemburska, Maďarska, Malty, Německa, Nizozemska, Norska, Polska, Portugalska, Rakouska, </w:t>
      </w:r>
      <w:r>
        <w:t xml:space="preserve">Republiky Severní Makedonie, </w:t>
      </w:r>
      <w:r w:rsidRPr="00427282">
        <w:t xml:space="preserve">Rumunska, Řecka, Slovenska, Slovinska, Spojeného království, </w:t>
      </w:r>
      <w:r>
        <w:t xml:space="preserve">Srbska, </w:t>
      </w:r>
      <w:r w:rsidRPr="00427282">
        <w:t>Španělska, Švédska, Švýcarska a</w:t>
      </w:r>
      <w:r>
        <w:t> </w:t>
      </w:r>
      <w:r w:rsidRPr="00427282">
        <w:t>Turecka.</w:t>
      </w:r>
    </w:p>
    <w:p w14:paraId="5E80AB2A" w14:textId="77777777" w:rsidR="00A55074" w:rsidRPr="00A2188B" w:rsidRDefault="00A55074" w:rsidP="00A55074">
      <w:pPr>
        <w:pStyle w:val="Nadpis1"/>
        <w:tabs>
          <w:tab w:val="left" w:pos="540"/>
        </w:tabs>
        <w:spacing w:before="0"/>
      </w:pPr>
      <w:r w:rsidRPr="00A2188B">
        <w:br w:type="page"/>
      </w:r>
      <w:bookmarkStart w:id="29" w:name="_Toc196625028"/>
      <w:bookmarkStart w:id="30" w:name="_Toc359573663"/>
      <w:bookmarkStart w:id="31" w:name="_Toc385338851"/>
      <w:bookmarkStart w:id="32" w:name="_Toc396308487"/>
      <w:bookmarkStart w:id="33" w:name="_Toc486135635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r w:rsidRPr="00A2188B">
        <w:lastRenderedPageBreak/>
        <w:t>1</w:t>
      </w:r>
      <w:r w:rsidRPr="00A2188B">
        <w:rPr>
          <w:rFonts w:ascii="Arial Unicode MS" w:eastAsia="Arial Unicode MS" w:hAnsi="Arial Unicode MS" w:cs="Arial Unicode MS"/>
        </w:rPr>
        <w:t> </w:t>
      </w:r>
      <w:r w:rsidRPr="00A2188B">
        <w:t>Předmět normy</w:t>
      </w:r>
      <w:bookmarkEnd w:id="29"/>
      <w:bookmarkEnd w:id="30"/>
      <w:bookmarkEnd w:id="31"/>
      <w:bookmarkEnd w:id="32"/>
    </w:p>
    <w:p w14:paraId="09335C01" w14:textId="06CE14B4" w:rsidR="00A55074" w:rsidRPr="00A2188B" w:rsidRDefault="00A55074" w:rsidP="00A55074">
      <w:pPr>
        <w:pStyle w:val="Textnormy"/>
      </w:pPr>
      <w:r w:rsidRPr="00A2188B">
        <w:t>Tato evropská norma určuje vlastnosti a</w:t>
      </w:r>
      <w:r>
        <w:t> </w:t>
      </w:r>
      <w:r w:rsidRPr="00A2188B">
        <w:t>požadavky na spárovací tmely a</w:t>
      </w:r>
      <w:r>
        <w:t> </w:t>
      </w:r>
      <w:r w:rsidRPr="00A2188B">
        <w:t>papírové pásky pro tmelení a</w:t>
      </w:r>
      <w:r>
        <w:t> </w:t>
      </w:r>
      <w:r w:rsidRPr="00A2188B">
        <w:t>přetmelení spojů vytvořených na podélných a</w:t>
      </w:r>
      <w:r>
        <w:t> </w:t>
      </w:r>
      <w:r w:rsidRPr="00A2188B">
        <w:t>příčných hranách sádrokartonových desek vyráběných podle EN</w:t>
      </w:r>
      <w:r w:rsidR="005E1156">
        <w:t> </w:t>
      </w:r>
      <w:r w:rsidRPr="00A2188B">
        <w:t>520, upravených výrobků ze sádrokartonových desek podle EN</w:t>
      </w:r>
      <w:r w:rsidR="005E1156">
        <w:t> </w:t>
      </w:r>
      <w:r w:rsidRPr="00A2188B">
        <w:t>14190, prefabrikovaných sádrokartonových panelů s</w:t>
      </w:r>
      <w:r>
        <w:t> </w:t>
      </w:r>
      <w:r w:rsidRPr="00A2188B">
        <w:t>pórovitým kart</w:t>
      </w:r>
      <w:r>
        <w:t>o</w:t>
      </w:r>
      <w:r w:rsidRPr="00A2188B">
        <w:t>novým jádrem podle EN</w:t>
      </w:r>
      <w:r w:rsidR="005E1156">
        <w:t> </w:t>
      </w:r>
      <w:r w:rsidRPr="00A2188B">
        <w:t>13915, tepelně</w:t>
      </w:r>
      <w:r>
        <w:t>izolačních a zvukově</w:t>
      </w:r>
      <w:r w:rsidRPr="00A2188B">
        <w:t xml:space="preserve">izolačních kompozitních panelů podle </w:t>
      </w:r>
      <w:r>
        <w:br/>
      </w:r>
      <w:r w:rsidRPr="00A2188B">
        <w:t>EN</w:t>
      </w:r>
      <w:r w:rsidR="005E1156">
        <w:t> </w:t>
      </w:r>
      <w:r w:rsidRPr="00A2188B">
        <w:t>13950, předtvarovaných sádrokartonových lišt podle EN</w:t>
      </w:r>
      <w:r w:rsidR="005E1156">
        <w:t> </w:t>
      </w:r>
      <w:r w:rsidRPr="00A2188B">
        <w:t>14209 a</w:t>
      </w:r>
      <w:r>
        <w:t> </w:t>
      </w:r>
      <w:r w:rsidRPr="00A2188B">
        <w:t>sádrových desek vyztužených vlákny podle EN</w:t>
      </w:r>
      <w:r w:rsidR="005E1156">
        <w:t> </w:t>
      </w:r>
      <w:r w:rsidRPr="00A2188B">
        <w:t>15283-1 a</w:t>
      </w:r>
      <w:r>
        <w:t> </w:t>
      </w:r>
      <w:r w:rsidRPr="00A2188B">
        <w:t>EN</w:t>
      </w:r>
      <w:r w:rsidR="005E1156">
        <w:t> </w:t>
      </w:r>
      <w:r w:rsidRPr="00A2188B">
        <w:t>15283-2.</w:t>
      </w:r>
    </w:p>
    <w:p w14:paraId="125D3B81" w14:textId="77777777" w:rsidR="00A55074" w:rsidRPr="00A2188B" w:rsidRDefault="00A55074" w:rsidP="00A55074">
      <w:pPr>
        <w:pStyle w:val="Textnormy"/>
      </w:pPr>
      <w:r w:rsidRPr="00A2188B">
        <w:t>Tato evropská norma se netýká pásků, které jsou vyráběny z</w:t>
      </w:r>
      <w:r>
        <w:t> </w:t>
      </w:r>
      <w:r w:rsidRPr="00A2188B">
        <w:t>jiných materiálů než papír.</w:t>
      </w:r>
    </w:p>
    <w:p w14:paraId="1DC06CA0" w14:textId="77777777" w:rsidR="00A55074" w:rsidRPr="00A2188B" w:rsidRDefault="00A55074" w:rsidP="00A55074">
      <w:pPr>
        <w:pStyle w:val="Textnormy"/>
        <w:rPr>
          <w:strike/>
        </w:rPr>
      </w:pPr>
      <w:r w:rsidRPr="00A2188B">
        <w:t>Tato norma popisuje následující vlastnosti výrobku: reakce na oheň a</w:t>
      </w:r>
      <w:r>
        <w:t> </w:t>
      </w:r>
      <w:r w:rsidRPr="00A2188B">
        <w:t>pevnost v</w:t>
      </w:r>
      <w:r>
        <w:t> </w:t>
      </w:r>
      <w:r w:rsidRPr="00A2188B">
        <w:t>tahu za ohybu stanovených podle příslušných zkušebních metod v</w:t>
      </w:r>
      <w:r>
        <w:t> </w:t>
      </w:r>
      <w:r w:rsidRPr="00A2188B">
        <w:t xml:space="preserve">tomto dokumentu. </w:t>
      </w:r>
    </w:p>
    <w:p w14:paraId="7A1408C5" w14:textId="77777777" w:rsidR="00A55074" w:rsidRPr="00A2188B" w:rsidRDefault="00A55074" w:rsidP="00A55074">
      <w:pPr>
        <w:pStyle w:val="Nadpis1"/>
      </w:pPr>
      <w:bookmarkStart w:id="34" w:name="_Toc359573664"/>
      <w:bookmarkStart w:id="35" w:name="_Toc385338852"/>
      <w:bookmarkStart w:id="36" w:name="_Toc396308488"/>
      <w:bookmarkEnd w:id="33"/>
      <w:r w:rsidRPr="00A2188B">
        <w:t>2</w:t>
      </w:r>
      <w:r w:rsidRPr="00A2188B">
        <w:rPr>
          <w:rFonts w:ascii="Arial Unicode MS" w:eastAsia="Arial Unicode MS" w:hAnsi="Arial Unicode MS" w:cs="Arial Unicode MS" w:hint="eastAsia"/>
        </w:rPr>
        <w:t> </w:t>
      </w:r>
      <w:r w:rsidRPr="00A2188B">
        <w:t>Citované dokumenty</w:t>
      </w:r>
      <w:bookmarkEnd w:id="34"/>
      <w:bookmarkEnd w:id="35"/>
      <w:bookmarkEnd w:id="36"/>
    </w:p>
    <w:p w14:paraId="6DA154D1" w14:textId="77777777" w:rsidR="00A55074" w:rsidRPr="00A2188B" w:rsidRDefault="00A55074" w:rsidP="00A55074">
      <w:pPr>
        <w:pStyle w:val="Textnormy"/>
      </w:pPr>
      <w:r w:rsidRPr="003268E7">
        <w:rPr>
          <w:rFonts w:cs="Arial"/>
        </w:rPr>
        <w:t>Na dále uvedené dokumenty se v</w:t>
      </w:r>
      <w:r>
        <w:rPr>
          <w:rFonts w:cs="Arial"/>
        </w:rPr>
        <w:t> </w:t>
      </w:r>
      <w:r w:rsidRPr="003268E7">
        <w:rPr>
          <w:rFonts w:cs="Arial"/>
        </w:rPr>
        <w:t>textu odkazuje takovým způsobem, že celý jejich obsah nebo jeho část představují požadavky tohoto dokumentu. U</w:t>
      </w:r>
      <w:r>
        <w:rPr>
          <w:rFonts w:cs="Arial"/>
        </w:rPr>
        <w:t> </w:t>
      </w:r>
      <w:r w:rsidRPr="003268E7">
        <w:rPr>
          <w:rFonts w:cs="Arial"/>
        </w:rPr>
        <w:t>datovaných citovaných dokumentů se používají pouze datované citované dokumenty. U</w:t>
      </w:r>
      <w:r>
        <w:rPr>
          <w:rFonts w:cs="Arial"/>
        </w:rPr>
        <w:t> </w:t>
      </w:r>
      <w:r w:rsidRPr="003268E7">
        <w:rPr>
          <w:rFonts w:cs="Arial"/>
        </w:rPr>
        <w:t>nedatovaných citovaných dokumentů se používá pouze nejnovější vydání citovaného dokumentu (včetně všech změn).</w:t>
      </w:r>
    </w:p>
    <w:p w14:paraId="613FBB74" w14:textId="0DD3A93C" w:rsidR="00A55074" w:rsidRDefault="00A55074" w:rsidP="00A55074">
      <w:pPr>
        <w:pStyle w:val="TextnormyUS"/>
        <w:rPr>
          <w:rStyle w:val="TextnormyUSChar"/>
        </w:rPr>
      </w:pPr>
      <w:r>
        <w:rPr>
          <w:rStyle w:val="TextnormyUSChar"/>
        </w:rPr>
        <w:t>EN</w:t>
      </w:r>
      <w:r w:rsidR="005E1156">
        <w:rPr>
          <w:rStyle w:val="TextnormyUSChar"/>
        </w:rPr>
        <w:t> </w:t>
      </w:r>
      <w:r>
        <w:rPr>
          <w:rStyle w:val="TextnormyUSChar"/>
        </w:rPr>
        <w:t>196-3</w:t>
      </w:r>
      <w:r>
        <w:rPr>
          <w:rStyle w:val="TextnormyUSChar"/>
        </w:rPr>
        <w:t> </w:t>
      </w:r>
      <w:r w:rsidRPr="00293AD3">
        <w:rPr>
          <w:rStyle w:val="TextnormyUSChar"/>
        </w:rPr>
        <w:t>Methods of testing cement</w:t>
      </w:r>
      <w:r>
        <w:rPr>
          <w:rStyle w:val="TextnormyUSChar"/>
        </w:rPr>
        <w:t xml:space="preserve"> – </w:t>
      </w:r>
      <w:r w:rsidRPr="00293AD3">
        <w:rPr>
          <w:rStyle w:val="TextnormyUSChar"/>
        </w:rPr>
        <w:t>Part</w:t>
      </w:r>
      <w:r w:rsidR="005E1156">
        <w:rPr>
          <w:rStyle w:val="TextnormyUSChar"/>
        </w:rPr>
        <w:t> </w:t>
      </w:r>
      <w:r w:rsidRPr="00293AD3">
        <w:rPr>
          <w:rStyle w:val="TextnormyUSChar"/>
        </w:rPr>
        <w:t>3: Determination of setting time and soundness</w:t>
      </w:r>
    </w:p>
    <w:p w14:paraId="65072FC6" w14:textId="77777777" w:rsidR="00A55074" w:rsidRPr="004379F6" w:rsidRDefault="00A55074" w:rsidP="00A55074">
      <w:pPr>
        <w:pStyle w:val="Zkladntext"/>
        <w:jc w:val="both"/>
        <w:rPr>
          <w:rStyle w:val="TextnormyChar1"/>
          <w:i/>
        </w:rPr>
      </w:pPr>
      <w:r w:rsidRPr="004379F6">
        <w:rPr>
          <w:rStyle w:val="TextnormyChar1"/>
          <w:i/>
        </w:rPr>
        <w:t>(Metody zkoušení cementu</w:t>
      </w:r>
      <w:r>
        <w:rPr>
          <w:rStyle w:val="TextnormyChar1"/>
          <w:i/>
        </w:rPr>
        <w:t xml:space="preserve"> – </w:t>
      </w:r>
      <w:r w:rsidRPr="004379F6">
        <w:rPr>
          <w:rStyle w:val="TextnormyChar1"/>
          <w:i/>
        </w:rPr>
        <w:t>Část 3: Stanovení dob tuhnutí a</w:t>
      </w:r>
      <w:r>
        <w:rPr>
          <w:rStyle w:val="TextnormyChar1"/>
          <w:i/>
        </w:rPr>
        <w:t> </w:t>
      </w:r>
      <w:r w:rsidRPr="004379F6">
        <w:rPr>
          <w:rStyle w:val="TextnormyChar1"/>
          <w:i/>
        </w:rPr>
        <w:t>objemové stálosti)</w:t>
      </w:r>
    </w:p>
    <w:p w14:paraId="5FC0A894" w14:textId="7A66DCA7" w:rsidR="00A55074" w:rsidRDefault="00A55074" w:rsidP="00A55074">
      <w:pPr>
        <w:pStyle w:val="TextnormyUS"/>
        <w:rPr>
          <w:rStyle w:val="TextnormyUSChar"/>
        </w:rPr>
      </w:pPr>
      <w:r w:rsidRPr="004379F6">
        <w:rPr>
          <w:rStyle w:val="TextnormyUSChar"/>
        </w:rPr>
        <w:t>EN</w:t>
      </w:r>
      <w:r w:rsidR="005E1156">
        <w:rPr>
          <w:rStyle w:val="TextnormyUSChar"/>
        </w:rPr>
        <w:t> </w:t>
      </w:r>
      <w:r w:rsidRPr="004379F6">
        <w:rPr>
          <w:rStyle w:val="TextnormyUSChar"/>
        </w:rPr>
        <w:t>520</w:t>
      </w:r>
      <w:r w:rsidRPr="004379F6">
        <w:rPr>
          <w:rStyle w:val="TextnormyUSChar"/>
        </w:rPr>
        <w:t> </w:t>
      </w:r>
      <w:r w:rsidRPr="004379F6">
        <w:rPr>
          <w:rStyle w:val="TextnormyUSChar"/>
        </w:rPr>
        <w:t>Gypsum plasterboards</w:t>
      </w:r>
      <w:r>
        <w:rPr>
          <w:rStyle w:val="TextnormyUSChar"/>
        </w:rPr>
        <w:t xml:space="preserve"> – </w:t>
      </w:r>
      <w:r w:rsidRPr="004379F6">
        <w:rPr>
          <w:rStyle w:val="TextnormyUSChar"/>
        </w:rPr>
        <w:t>Definitions, requirements and test methods</w:t>
      </w:r>
    </w:p>
    <w:p w14:paraId="7D1013F2" w14:textId="77777777" w:rsidR="00A55074" w:rsidRPr="004379F6" w:rsidRDefault="00A55074" w:rsidP="00A55074">
      <w:pPr>
        <w:pStyle w:val="Zkladntext"/>
        <w:jc w:val="both"/>
        <w:rPr>
          <w:rStyle w:val="TextnormyChar1"/>
          <w:i/>
        </w:rPr>
      </w:pPr>
      <w:r w:rsidRPr="004379F6">
        <w:rPr>
          <w:rStyle w:val="TextnormyChar1"/>
          <w:i/>
        </w:rPr>
        <w:t>(Sádrokartonové desky</w:t>
      </w:r>
      <w:r>
        <w:rPr>
          <w:rStyle w:val="TextnormyChar1"/>
          <w:i/>
        </w:rPr>
        <w:t xml:space="preserve"> – </w:t>
      </w:r>
      <w:r w:rsidRPr="004379F6">
        <w:rPr>
          <w:rStyle w:val="TextnormyChar1"/>
          <w:i/>
        </w:rPr>
        <w:t>Definice, požadavky a</w:t>
      </w:r>
      <w:r>
        <w:rPr>
          <w:rStyle w:val="TextnormyChar1"/>
          <w:i/>
        </w:rPr>
        <w:t> </w:t>
      </w:r>
      <w:r w:rsidRPr="004379F6">
        <w:rPr>
          <w:rStyle w:val="TextnormyChar1"/>
          <w:i/>
        </w:rPr>
        <w:t>zkušební metody)</w:t>
      </w:r>
    </w:p>
    <w:p w14:paraId="6CDA377A" w14:textId="5F16B9E7" w:rsidR="00A55074" w:rsidRDefault="00A55074" w:rsidP="00A55074">
      <w:pPr>
        <w:pStyle w:val="TextnormyUS"/>
        <w:rPr>
          <w:rStyle w:val="TextnormyUSChar"/>
        </w:rPr>
      </w:pPr>
      <w:r w:rsidRPr="004379F6">
        <w:rPr>
          <w:rStyle w:val="TextnormyUSChar"/>
        </w:rPr>
        <w:t>EN</w:t>
      </w:r>
      <w:r w:rsidR="005E1156">
        <w:rPr>
          <w:rStyle w:val="TextnormyUSChar"/>
        </w:rPr>
        <w:t> </w:t>
      </w:r>
      <w:r w:rsidRPr="004379F6">
        <w:rPr>
          <w:rStyle w:val="TextnormyUSChar"/>
        </w:rPr>
        <w:t>13501-1</w:t>
      </w:r>
      <w:r w:rsidRPr="004379F6">
        <w:rPr>
          <w:rStyle w:val="TextnormyUSChar"/>
        </w:rPr>
        <w:t> </w:t>
      </w:r>
      <w:r w:rsidRPr="004379F6">
        <w:rPr>
          <w:rStyle w:val="TextnormyUSChar"/>
        </w:rPr>
        <w:t>Fire classification of construction products and building elements</w:t>
      </w:r>
      <w:r>
        <w:rPr>
          <w:rStyle w:val="TextnormyUSChar"/>
        </w:rPr>
        <w:t xml:space="preserve"> – </w:t>
      </w:r>
      <w:r w:rsidRPr="004379F6">
        <w:rPr>
          <w:rStyle w:val="TextnormyUSChar"/>
        </w:rPr>
        <w:t>Part</w:t>
      </w:r>
      <w:r w:rsidR="005E1156">
        <w:rPr>
          <w:rStyle w:val="TextnormyUSChar"/>
        </w:rPr>
        <w:t> </w:t>
      </w:r>
      <w:r w:rsidRPr="004379F6">
        <w:rPr>
          <w:rStyle w:val="TextnormyUSChar"/>
        </w:rPr>
        <w:t>1: Classification using test data from reaction to fire tests</w:t>
      </w:r>
    </w:p>
    <w:p w14:paraId="0A8F3A3C" w14:textId="5DF95E50" w:rsidR="00A55074" w:rsidRPr="004379F6" w:rsidRDefault="00A55074" w:rsidP="00A55074">
      <w:pPr>
        <w:pStyle w:val="Zkladntext"/>
        <w:jc w:val="both"/>
        <w:rPr>
          <w:rStyle w:val="TextnormyChar1"/>
          <w:i/>
        </w:rPr>
      </w:pPr>
      <w:r w:rsidRPr="004379F6">
        <w:rPr>
          <w:rStyle w:val="TextnormyChar1"/>
          <w:i/>
        </w:rPr>
        <w:t>(Požární klasifikace stavebních výrobků a</w:t>
      </w:r>
      <w:r>
        <w:rPr>
          <w:rStyle w:val="TextnormyChar1"/>
          <w:i/>
        </w:rPr>
        <w:t> </w:t>
      </w:r>
      <w:r w:rsidRPr="004379F6">
        <w:rPr>
          <w:rStyle w:val="TextnormyChar1"/>
          <w:i/>
        </w:rPr>
        <w:t>konstrukce staveb</w:t>
      </w:r>
      <w:r>
        <w:rPr>
          <w:rStyle w:val="TextnormyChar1"/>
          <w:i/>
        </w:rPr>
        <w:t xml:space="preserve"> – </w:t>
      </w:r>
      <w:r w:rsidRPr="004379F6">
        <w:rPr>
          <w:rStyle w:val="TextnormyChar1"/>
          <w:i/>
        </w:rPr>
        <w:t>Část</w:t>
      </w:r>
      <w:r w:rsidR="005E1156">
        <w:rPr>
          <w:rStyle w:val="TextnormyChar1"/>
          <w:i/>
        </w:rPr>
        <w:t> </w:t>
      </w:r>
      <w:r w:rsidRPr="004379F6">
        <w:rPr>
          <w:rStyle w:val="TextnormyChar1"/>
          <w:i/>
        </w:rPr>
        <w:t>1: Klasifikace podle výsledků zkoušek reakce na oheň)</w:t>
      </w:r>
    </w:p>
    <w:p w14:paraId="33B9CD77" w14:textId="4B7241BC" w:rsidR="00A55074" w:rsidRDefault="00A55074" w:rsidP="00A55074">
      <w:pPr>
        <w:pStyle w:val="TextnormyUS"/>
        <w:rPr>
          <w:rStyle w:val="TextnormyUSChar"/>
        </w:rPr>
      </w:pPr>
      <w:r w:rsidRPr="004379F6">
        <w:rPr>
          <w:rStyle w:val="TextnormyUSChar"/>
        </w:rPr>
        <w:t>EN</w:t>
      </w:r>
      <w:r w:rsidR="005E1156">
        <w:rPr>
          <w:rStyle w:val="TextnormyUSChar"/>
        </w:rPr>
        <w:t> </w:t>
      </w:r>
      <w:r w:rsidRPr="004379F6">
        <w:rPr>
          <w:rStyle w:val="TextnormyUSChar"/>
        </w:rPr>
        <w:t>13823</w:t>
      </w:r>
      <w:r w:rsidRPr="004379F6">
        <w:rPr>
          <w:rStyle w:val="TextnormyUSChar"/>
        </w:rPr>
        <w:t> </w:t>
      </w:r>
      <w:r w:rsidRPr="004379F6">
        <w:rPr>
          <w:rStyle w:val="TextnormyUSChar"/>
        </w:rPr>
        <w:t>Reaction to fire tests for building products</w:t>
      </w:r>
      <w:r>
        <w:rPr>
          <w:rStyle w:val="TextnormyUSChar"/>
        </w:rPr>
        <w:t> </w:t>
      </w:r>
      <w:r w:rsidR="005E1156">
        <w:rPr>
          <w:rStyle w:val="TextnormyUSChar"/>
        </w:rPr>
        <w:t>–</w:t>
      </w:r>
      <w:r>
        <w:rPr>
          <w:rStyle w:val="TextnormyUSChar"/>
        </w:rPr>
        <w:t xml:space="preserve"> </w:t>
      </w:r>
      <w:r w:rsidRPr="004379F6">
        <w:rPr>
          <w:rStyle w:val="TextnormyUSChar"/>
        </w:rPr>
        <w:t xml:space="preserve">Building products excluding floorings exposed to the thermal </w:t>
      </w:r>
      <w:r>
        <w:rPr>
          <w:rStyle w:val="TextnormyUSChar"/>
        </w:rPr>
        <w:t>attack by a single burning item</w:t>
      </w:r>
    </w:p>
    <w:p w14:paraId="7A0C1483" w14:textId="77777777" w:rsidR="00A55074" w:rsidRPr="004379F6" w:rsidRDefault="00A55074" w:rsidP="00A55074">
      <w:pPr>
        <w:pStyle w:val="Zkladntext"/>
        <w:jc w:val="both"/>
        <w:rPr>
          <w:rStyle w:val="TextnormyChar1"/>
          <w:i/>
        </w:rPr>
      </w:pPr>
      <w:r w:rsidRPr="004379F6">
        <w:rPr>
          <w:rStyle w:val="TextnormyChar1"/>
          <w:i/>
        </w:rPr>
        <w:t>(Zkoušení reakce stavebních výrobků na oheň</w:t>
      </w:r>
      <w:r>
        <w:rPr>
          <w:rStyle w:val="TextnormyChar1"/>
          <w:i/>
        </w:rPr>
        <w:t xml:space="preserve"> – </w:t>
      </w:r>
      <w:r w:rsidRPr="004379F6">
        <w:rPr>
          <w:rStyle w:val="TextnormyChar1"/>
          <w:i/>
        </w:rPr>
        <w:t>Stavební výrobky kromě podlahových krytin vystavené tepelnému účinku jednotlivého hořícího předmětu)</w:t>
      </w:r>
    </w:p>
    <w:p w14:paraId="3C7BCDF7" w14:textId="2CD5D141" w:rsidR="00A55074" w:rsidRDefault="00A55074" w:rsidP="00A55074">
      <w:pPr>
        <w:pStyle w:val="TextnormyUS"/>
        <w:rPr>
          <w:rStyle w:val="TextnormyUSChar"/>
        </w:rPr>
      </w:pPr>
      <w:r w:rsidRPr="004379F6">
        <w:rPr>
          <w:rStyle w:val="TextnormyUSChar"/>
        </w:rPr>
        <w:t>EN</w:t>
      </w:r>
      <w:r w:rsidR="005E1156">
        <w:rPr>
          <w:rStyle w:val="TextnormyUSChar"/>
        </w:rPr>
        <w:t> </w:t>
      </w:r>
      <w:r w:rsidRPr="004379F6">
        <w:rPr>
          <w:rStyle w:val="TextnormyUSChar"/>
        </w:rPr>
        <w:t>ISO 535</w:t>
      </w:r>
      <w:r w:rsidRPr="004379F6">
        <w:rPr>
          <w:rStyle w:val="TextnormyUSChar"/>
        </w:rPr>
        <w:t> </w:t>
      </w:r>
      <w:r w:rsidRPr="004379F6">
        <w:rPr>
          <w:rStyle w:val="TextnormyUSChar"/>
        </w:rPr>
        <w:t>Paper and board</w:t>
      </w:r>
      <w:r>
        <w:rPr>
          <w:rStyle w:val="TextnormyUSChar"/>
        </w:rPr>
        <w:t xml:space="preserve"> – </w:t>
      </w:r>
      <w:r w:rsidRPr="004379F6">
        <w:rPr>
          <w:rStyle w:val="TextnormyUSChar"/>
        </w:rPr>
        <w:t>Determination of water absorptiveness</w:t>
      </w:r>
      <w:r>
        <w:rPr>
          <w:rStyle w:val="TextnormyUSChar"/>
        </w:rPr>
        <w:t xml:space="preserve"> – </w:t>
      </w:r>
      <w:r w:rsidRPr="004379F6">
        <w:rPr>
          <w:rStyle w:val="TextnormyUSChar"/>
        </w:rPr>
        <w:t>Cobb method (ISO</w:t>
      </w:r>
      <w:r w:rsidR="005E1156">
        <w:rPr>
          <w:rStyle w:val="TextnormyUSChar"/>
        </w:rPr>
        <w:t> </w:t>
      </w:r>
      <w:r w:rsidRPr="004379F6">
        <w:rPr>
          <w:rStyle w:val="TextnormyUSChar"/>
        </w:rPr>
        <w:t>535)</w:t>
      </w:r>
    </w:p>
    <w:p w14:paraId="7499579E" w14:textId="77777777" w:rsidR="00A55074" w:rsidRPr="004379F6" w:rsidRDefault="00A55074" w:rsidP="00A55074">
      <w:pPr>
        <w:pStyle w:val="Zkladntext"/>
        <w:jc w:val="both"/>
        <w:rPr>
          <w:rStyle w:val="TextnormyChar1"/>
          <w:i/>
        </w:rPr>
      </w:pPr>
      <w:r w:rsidRPr="004379F6">
        <w:rPr>
          <w:rStyle w:val="TextnormyChar1"/>
          <w:i/>
        </w:rPr>
        <w:t>(Papír a</w:t>
      </w:r>
      <w:r>
        <w:rPr>
          <w:rStyle w:val="TextnormyChar1"/>
          <w:i/>
        </w:rPr>
        <w:t> </w:t>
      </w:r>
      <w:r w:rsidRPr="004379F6">
        <w:rPr>
          <w:rStyle w:val="TextnormyChar1"/>
          <w:i/>
        </w:rPr>
        <w:t>lepenka</w:t>
      </w:r>
      <w:r>
        <w:rPr>
          <w:rStyle w:val="TextnormyChar1"/>
          <w:i/>
        </w:rPr>
        <w:t xml:space="preserve"> – </w:t>
      </w:r>
      <w:r w:rsidRPr="004379F6">
        <w:rPr>
          <w:rStyle w:val="TextnormyChar1"/>
          <w:i/>
        </w:rPr>
        <w:t>Stanovení absorpce vody podle Cobba)</w:t>
      </w:r>
    </w:p>
    <w:p w14:paraId="39C32EE7" w14:textId="77777777" w:rsidR="00A55074" w:rsidRPr="00A2188B" w:rsidRDefault="00A55074" w:rsidP="00A55074">
      <w:pPr>
        <w:pStyle w:val="Nadpis1"/>
        <w:rPr>
          <w:rFonts w:eastAsia="Arial Unicode MS" w:cs="Arial"/>
        </w:rPr>
      </w:pPr>
      <w:bookmarkStart w:id="37" w:name="_Toc359573665"/>
      <w:bookmarkStart w:id="38" w:name="_Toc385338853"/>
      <w:bookmarkStart w:id="39" w:name="_Toc396308489"/>
      <w:bookmarkStart w:id="40" w:name="_Toc514051874"/>
      <w:r w:rsidRPr="00A2188B">
        <w:t>3</w:t>
      </w:r>
      <w:r w:rsidRPr="00A2188B">
        <w:rPr>
          <w:rFonts w:ascii="Arial Unicode MS" w:eastAsia="Arial Unicode MS" w:hAnsi="Arial Unicode MS" w:cs="Arial Unicode MS" w:hint="eastAsia"/>
        </w:rPr>
        <w:t> </w:t>
      </w:r>
      <w:bookmarkEnd w:id="37"/>
      <w:r w:rsidRPr="00A2188B">
        <w:rPr>
          <w:rFonts w:eastAsia="Arial Unicode MS" w:cs="Arial"/>
        </w:rPr>
        <w:t>Termíny, definice, značky, zkratky a</w:t>
      </w:r>
      <w:r>
        <w:rPr>
          <w:rFonts w:eastAsia="Arial Unicode MS" w:cs="Arial"/>
        </w:rPr>
        <w:t> </w:t>
      </w:r>
      <w:r w:rsidRPr="00A2188B">
        <w:rPr>
          <w:rFonts w:eastAsia="Arial Unicode MS" w:cs="Arial"/>
        </w:rPr>
        <w:t>třídění</w:t>
      </w:r>
      <w:bookmarkEnd w:id="38"/>
      <w:bookmarkEnd w:id="39"/>
    </w:p>
    <w:p w14:paraId="0FEB19FB" w14:textId="77777777" w:rsidR="00A55074" w:rsidRPr="00A2188B" w:rsidRDefault="00A55074" w:rsidP="00A55074">
      <w:pPr>
        <w:pStyle w:val="Nadpis2"/>
      </w:pPr>
      <w:bookmarkStart w:id="41" w:name="_Toc385338854"/>
      <w:bookmarkStart w:id="42" w:name="_Toc396308490"/>
      <w:r w:rsidRPr="00A2188B">
        <w:t>3.1</w:t>
      </w:r>
      <w:r w:rsidRPr="00A2188B">
        <w:rPr>
          <w:rFonts w:ascii="Arial Unicode MS" w:eastAsia="Arial Unicode MS" w:hAnsi="Arial Unicode MS" w:cs="Arial Unicode MS" w:hint="eastAsia"/>
        </w:rPr>
        <w:t> </w:t>
      </w:r>
      <w:r w:rsidRPr="00A2188B">
        <w:t>Termíny a</w:t>
      </w:r>
      <w:r>
        <w:t> </w:t>
      </w:r>
      <w:r w:rsidRPr="00A2188B">
        <w:t>definice výrobku</w:t>
      </w:r>
      <w:bookmarkEnd w:id="41"/>
      <w:bookmarkEnd w:id="42"/>
    </w:p>
    <w:p w14:paraId="49505F4A" w14:textId="77777777" w:rsidR="00A55074" w:rsidRPr="00A2188B" w:rsidRDefault="00A55074" w:rsidP="00A55074">
      <w:pPr>
        <w:pStyle w:val="Textnormy"/>
      </w:pPr>
      <w:r w:rsidRPr="00A2188B">
        <w:t xml:space="preserve">Pro účely </w:t>
      </w:r>
      <w:r>
        <w:t>tohoto dokumentu</w:t>
      </w:r>
      <w:r w:rsidRPr="00A2188B">
        <w:t xml:space="preserve"> platí dále uvedené termíny a</w:t>
      </w:r>
      <w:r>
        <w:t> </w:t>
      </w:r>
      <w:r w:rsidRPr="00A2188B">
        <w:t>definice.</w:t>
      </w:r>
    </w:p>
    <w:p w14:paraId="2B648110" w14:textId="77777777" w:rsidR="00A55074" w:rsidRPr="00A2188B" w:rsidRDefault="00A55074" w:rsidP="00A55074">
      <w:pPr>
        <w:pStyle w:val="Nadpislnku"/>
        <w:widowControl w:val="0"/>
        <w:jc w:val="both"/>
        <w:rPr>
          <w:bCs/>
        </w:rPr>
      </w:pPr>
      <w:r w:rsidRPr="00A2188B">
        <w:rPr>
          <w:bCs/>
        </w:rPr>
        <w:t>3.1.1</w:t>
      </w:r>
      <w:r w:rsidRPr="00A2188B">
        <w:rPr>
          <w:bCs/>
        </w:rPr>
        <w:br/>
        <w:t xml:space="preserve">spárovací systém </w:t>
      </w:r>
      <w:r w:rsidRPr="00A2188B">
        <w:rPr>
          <w:b w:val="0"/>
          <w:bCs/>
        </w:rPr>
        <w:t>(</w:t>
      </w:r>
      <w:r w:rsidRPr="00A2188B">
        <w:rPr>
          <w:b w:val="0"/>
          <w:bCs/>
          <w:i/>
        </w:rPr>
        <w:t>jointing system</w:t>
      </w:r>
      <w:r w:rsidRPr="00A2188B">
        <w:rPr>
          <w:b w:val="0"/>
          <w:bCs/>
        </w:rPr>
        <w:t>)</w:t>
      </w:r>
      <w:r w:rsidRPr="00A2188B">
        <w:rPr>
          <w:bCs/>
        </w:rPr>
        <w:tab/>
      </w:r>
      <w:r w:rsidRPr="00A2188B">
        <w:rPr>
          <w:bCs/>
        </w:rPr>
        <w:br/>
      </w:r>
      <w:r w:rsidRPr="00A2188B">
        <w:rPr>
          <w:b w:val="0"/>
        </w:rPr>
        <w:t>kombinace spárovacího tmelu nebo tmelů se spárovací páskou nebo bez ní k</w:t>
      </w:r>
      <w:r>
        <w:rPr>
          <w:b w:val="0"/>
        </w:rPr>
        <w:t> </w:t>
      </w:r>
      <w:r w:rsidRPr="00A2188B">
        <w:rPr>
          <w:b w:val="0"/>
        </w:rPr>
        <w:t>vytvoření spoje bez spáry mezi dvěma sádrovými deskami</w:t>
      </w:r>
    </w:p>
    <w:p w14:paraId="49B7FADC" w14:textId="77777777" w:rsidR="00A55074" w:rsidRPr="00A2188B" w:rsidRDefault="00A55074" w:rsidP="00A55074">
      <w:pPr>
        <w:pStyle w:val="Nadpis2"/>
        <w:rPr>
          <w:rFonts w:eastAsia="Arial Unicode MS"/>
        </w:rPr>
      </w:pPr>
      <w:bookmarkStart w:id="43" w:name="_Toc385338855"/>
      <w:bookmarkStart w:id="44" w:name="_Toc396308491"/>
      <w:r w:rsidRPr="00A2188B">
        <w:rPr>
          <w:rFonts w:eastAsia="Arial Unicode MS"/>
        </w:rPr>
        <w:t>3.2</w:t>
      </w:r>
      <w:r w:rsidRPr="00A2188B">
        <w:rPr>
          <w:rFonts w:eastAsia="Arial Unicode MS"/>
        </w:rPr>
        <w:t> </w:t>
      </w:r>
      <w:r w:rsidRPr="00A2188B">
        <w:rPr>
          <w:rFonts w:eastAsia="Arial Unicode MS"/>
        </w:rPr>
        <w:t>Značky a</w:t>
      </w:r>
      <w:r>
        <w:rPr>
          <w:rFonts w:eastAsia="Arial Unicode MS"/>
        </w:rPr>
        <w:t> </w:t>
      </w:r>
      <w:r w:rsidRPr="00A2188B">
        <w:rPr>
          <w:rFonts w:eastAsia="Arial Unicode MS"/>
        </w:rPr>
        <w:t>zkratky</w:t>
      </w:r>
      <w:bookmarkEnd w:id="43"/>
      <w:bookmarkEnd w:id="44"/>
    </w:p>
    <w:p w14:paraId="321F9EAB" w14:textId="77777777" w:rsidR="00A55074" w:rsidRPr="00A2188B" w:rsidRDefault="00A55074" w:rsidP="00A55074">
      <w:pPr>
        <w:pStyle w:val="NadpisTabObr"/>
        <w:rPr>
          <w:rFonts w:eastAsia="Arial Unicode MS"/>
        </w:rPr>
      </w:pPr>
      <w:r w:rsidRPr="00A2188B">
        <w:rPr>
          <w:rFonts w:eastAsia="Arial Unicode MS"/>
        </w:rPr>
        <w:t>Tabulka 1</w:t>
      </w:r>
      <w:r>
        <w:rPr>
          <w:rFonts w:eastAsia="Arial Unicode MS"/>
        </w:rPr>
        <w:t> </w:t>
      </w:r>
      <w:r w:rsidRPr="00A2188B">
        <w:t>–</w:t>
      </w:r>
      <w:r w:rsidRPr="00A2188B">
        <w:rPr>
          <w:rFonts w:eastAsia="Arial Unicode MS"/>
        </w:rPr>
        <w:t xml:space="preserve"> Značky a</w:t>
      </w:r>
      <w:r>
        <w:rPr>
          <w:rFonts w:eastAsia="Arial Unicode MS"/>
        </w:rPr>
        <w:t> </w:t>
      </w:r>
      <w:r w:rsidRPr="00A2188B">
        <w:rPr>
          <w:rFonts w:eastAsia="Arial Unicode MS"/>
        </w:rPr>
        <w:t>zkratky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46"/>
        <w:gridCol w:w="1500"/>
        <w:gridCol w:w="3800"/>
      </w:tblGrid>
      <w:tr w:rsidR="00A55074" w:rsidRPr="00A2188B" w14:paraId="263357CF" w14:textId="77777777" w:rsidTr="00343611">
        <w:trPr>
          <w:jc w:val="center"/>
        </w:trPr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216CA4F" w14:textId="77777777" w:rsidR="00A55074" w:rsidRPr="00A2188B" w:rsidRDefault="00A55074" w:rsidP="00343611">
            <w:pPr>
              <w:pStyle w:val="Texttabulky"/>
              <w:rPr>
                <w:rFonts w:eastAsia="Arial Unicode MS"/>
              </w:rPr>
            </w:pPr>
            <w:r w:rsidRPr="00A2188B">
              <w:rPr>
                <w:rFonts w:eastAsia="Arial Unicode MS"/>
              </w:rPr>
              <w:t>Požadavek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5BF76A" w14:textId="77777777" w:rsidR="00A55074" w:rsidRPr="00A2188B" w:rsidRDefault="00A55074" w:rsidP="00343611">
            <w:pPr>
              <w:pStyle w:val="Texttabulky"/>
              <w:jc w:val="center"/>
              <w:rPr>
                <w:rFonts w:eastAsia="Arial Unicode MS"/>
              </w:rPr>
            </w:pPr>
            <w:r w:rsidRPr="00A2188B">
              <w:rPr>
                <w:rFonts w:eastAsia="Arial Unicode MS"/>
              </w:rPr>
              <w:t>Kapitola</w:t>
            </w:r>
          </w:p>
        </w:tc>
        <w:tc>
          <w:tcPr>
            <w:tcW w:w="3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F789F" w14:textId="77777777" w:rsidR="00A55074" w:rsidRPr="00A2188B" w:rsidRDefault="00A55074" w:rsidP="00343611">
            <w:pPr>
              <w:pStyle w:val="Texttabulky"/>
              <w:jc w:val="center"/>
              <w:rPr>
                <w:rFonts w:eastAsia="Arial Unicode MS"/>
              </w:rPr>
            </w:pPr>
            <w:r w:rsidRPr="00A2188B">
              <w:rPr>
                <w:rFonts w:eastAsia="Arial Unicode MS"/>
              </w:rPr>
              <w:t>Značka nebo zkratka</w:t>
            </w:r>
          </w:p>
        </w:tc>
      </w:tr>
      <w:tr w:rsidR="00A55074" w:rsidRPr="00A2188B" w14:paraId="2C1D8618" w14:textId="77777777" w:rsidTr="00343611">
        <w:trPr>
          <w:jc w:val="center"/>
        </w:trPr>
        <w:tc>
          <w:tcPr>
            <w:tcW w:w="3446" w:type="dxa"/>
            <w:tcBorders>
              <w:top w:val="single" w:sz="4" w:space="0" w:color="auto"/>
              <w:left w:val="single" w:sz="4" w:space="0" w:color="auto"/>
            </w:tcBorders>
          </w:tcPr>
          <w:p w14:paraId="1ABC7732" w14:textId="77777777" w:rsidR="00A55074" w:rsidRPr="00A2188B" w:rsidRDefault="00A55074" w:rsidP="00343611">
            <w:pPr>
              <w:pStyle w:val="Texttabulky"/>
              <w:rPr>
                <w:rFonts w:eastAsia="Arial Unicode MS"/>
              </w:rPr>
            </w:pPr>
            <w:r w:rsidRPr="00A2188B">
              <w:rPr>
                <w:rFonts w:eastAsia="Arial Unicode MS"/>
              </w:rPr>
              <w:t>Reakce na oheň</w:t>
            </w:r>
          </w:p>
        </w:tc>
        <w:tc>
          <w:tcPr>
            <w:tcW w:w="1500" w:type="dxa"/>
            <w:tcBorders>
              <w:top w:val="single" w:sz="4" w:space="0" w:color="auto"/>
            </w:tcBorders>
          </w:tcPr>
          <w:p w14:paraId="4B356838" w14:textId="77777777" w:rsidR="00A55074" w:rsidRPr="00A2188B" w:rsidRDefault="00A55074" w:rsidP="00343611">
            <w:pPr>
              <w:pStyle w:val="Texttabulky"/>
              <w:jc w:val="center"/>
              <w:rPr>
                <w:rFonts w:eastAsia="Arial Unicode MS"/>
              </w:rPr>
            </w:pPr>
            <w:r w:rsidRPr="00A2188B">
              <w:rPr>
                <w:rFonts w:eastAsia="Arial Unicode MS"/>
              </w:rPr>
              <w:t>4.1</w:t>
            </w:r>
          </w:p>
        </w:tc>
        <w:tc>
          <w:tcPr>
            <w:tcW w:w="3800" w:type="dxa"/>
            <w:tcBorders>
              <w:top w:val="single" w:sz="4" w:space="0" w:color="auto"/>
              <w:right w:val="single" w:sz="4" w:space="0" w:color="auto"/>
            </w:tcBorders>
          </w:tcPr>
          <w:p w14:paraId="5AEC08E1" w14:textId="77777777" w:rsidR="00A55074" w:rsidRPr="00A2188B" w:rsidRDefault="00A55074" w:rsidP="00343611">
            <w:pPr>
              <w:pStyle w:val="Texttabulky"/>
              <w:jc w:val="center"/>
              <w:rPr>
                <w:rFonts w:eastAsia="Arial Unicode MS"/>
              </w:rPr>
            </w:pPr>
            <w:r w:rsidRPr="00A2188B">
              <w:rPr>
                <w:rFonts w:eastAsia="Arial Unicode MS"/>
              </w:rPr>
              <w:t>R2F</w:t>
            </w:r>
          </w:p>
        </w:tc>
      </w:tr>
      <w:tr w:rsidR="00A55074" w:rsidRPr="00A2188B" w14:paraId="2FBB9B26" w14:textId="77777777" w:rsidTr="00343611">
        <w:trPr>
          <w:jc w:val="center"/>
        </w:trPr>
        <w:tc>
          <w:tcPr>
            <w:tcW w:w="3446" w:type="dxa"/>
            <w:tcBorders>
              <w:left w:val="single" w:sz="4" w:space="0" w:color="auto"/>
            </w:tcBorders>
          </w:tcPr>
          <w:p w14:paraId="03ADFED8" w14:textId="77777777" w:rsidR="00A55074" w:rsidRPr="00A2188B" w:rsidRDefault="00A55074" w:rsidP="00343611">
            <w:pPr>
              <w:pStyle w:val="Texttabulky"/>
              <w:rPr>
                <w:rFonts w:eastAsia="Arial Unicode MS"/>
              </w:rPr>
            </w:pPr>
            <w:r w:rsidRPr="00A2188B">
              <w:rPr>
                <w:rFonts w:eastAsia="Arial Unicode MS"/>
              </w:rPr>
              <w:t>Pevnost v</w:t>
            </w:r>
            <w:r>
              <w:rPr>
                <w:rFonts w:eastAsia="Arial Unicode MS"/>
              </w:rPr>
              <w:t> </w:t>
            </w:r>
            <w:r w:rsidRPr="00A2188B">
              <w:rPr>
                <w:rFonts w:eastAsia="Arial Unicode MS"/>
              </w:rPr>
              <w:t>tahu za ohybu</w:t>
            </w:r>
          </w:p>
        </w:tc>
        <w:tc>
          <w:tcPr>
            <w:tcW w:w="1500" w:type="dxa"/>
          </w:tcPr>
          <w:p w14:paraId="451659D1" w14:textId="77777777" w:rsidR="00A55074" w:rsidRPr="00A2188B" w:rsidRDefault="00A55074" w:rsidP="00343611">
            <w:pPr>
              <w:pStyle w:val="Texttabulky"/>
              <w:jc w:val="center"/>
              <w:rPr>
                <w:rFonts w:eastAsia="Arial Unicode MS"/>
              </w:rPr>
            </w:pPr>
            <w:r w:rsidRPr="00A2188B">
              <w:rPr>
                <w:rFonts w:eastAsia="Arial Unicode MS"/>
              </w:rPr>
              <w:t>4.2</w:t>
            </w:r>
          </w:p>
        </w:tc>
        <w:tc>
          <w:tcPr>
            <w:tcW w:w="3800" w:type="dxa"/>
            <w:tcBorders>
              <w:right w:val="single" w:sz="4" w:space="0" w:color="auto"/>
            </w:tcBorders>
          </w:tcPr>
          <w:p w14:paraId="05808D5B" w14:textId="77777777" w:rsidR="00A55074" w:rsidRPr="00A2188B" w:rsidRDefault="00A55074" w:rsidP="00343611">
            <w:pPr>
              <w:pStyle w:val="Texttabulky"/>
              <w:jc w:val="center"/>
              <w:rPr>
                <w:rFonts w:eastAsia="Arial Unicode MS"/>
              </w:rPr>
            </w:pPr>
            <w:r w:rsidRPr="00A2188B">
              <w:rPr>
                <w:rFonts w:eastAsia="Arial Unicode MS"/>
              </w:rPr>
              <w:t>F</w:t>
            </w:r>
          </w:p>
        </w:tc>
      </w:tr>
      <w:tr w:rsidR="00A55074" w:rsidRPr="00A2188B" w14:paraId="203702BE" w14:textId="77777777" w:rsidTr="00343611">
        <w:trPr>
          <w:jc w:val="center"/>
        </w:trPr>
        <w:tc>
          <w:tcPr>
            <w:tcW w:w="3446" w:type="dxa"/>
            <w:tcBorders>
              <w:left w:val="single" w:sz="4" w:space="0" w:color="auto"/>
            </w:tcBorders>
          </w:tcPr>
          <w:p w14:paraId="4B3BD865" w14:textId="77777777" w:rsidR="00A55074" w:rsidRPr="00A2188B" w:rsidRDefault="00A55074" w:rsidP="00343611">
            <w:pPr>
              <w:pStyle w:val="Texttabulky"/>
              <w:rPr>
                <w:rFonts w:eastAsia="Arial Unicode MS"/>
              </w:rPr>
            </w:pPr>
            <w:r w:rsidRPr="00A2188B">
              <w:rPr>
                <w:rFonts w:eastAsia="Arial Unicode MS"/>
              </w:rPr>
              <w:t>Nebezpečné látky</w:t>
            </w:r>
          </w:p>
        </w:tc>
        <w:tc>
          <w:tcPr>
            <w:tcW w:w="1500" w:type="dxa"/>
          </w:tcPr>
          <w:p w14:paraId="51E9817E" w14:textId="77777777" w:rsidR="00A55074" w:rsidRPr="00A2188B" w:rsidRDefault="00A55074" w:rsidP="00343611">
            <w:pPr>
              <w:pStyle w:val="Texttabulky"/>
              <w:jc w:val="center"/>
              <w:rPr>
                <w:rFonts w:eastAsia="Arial Unicode MS"/>
              </w:rPr>
            </w:pPr>
            <w:r w:rsidRPr="00A2188B">
              <w:rPr>
                <w:rFonts w:eastAsia="Arial Unicode MS"/>
              </w:rPr>
              <w:t>4.3</w:t>
            </w:r>
          </w:p>
        </w:tc>
        <w:tc>
          <w:tcPr>
            <w:tcW w:w="3800" w:type="dxa"/>
            <w:tcBorders>
              <w:right w:val="single" w:sz="4" w:space="0" w:color="auto"/>
            </w:tcBorders>
          </w:tcPr>
          <w:p w14:paraId="0619A0B5" w14:textId="77777777" w:rsidR="00A55074" w:rsidRPr="00A2188B" w:rsidRDefault="00A55074" w:rsidP="00343611">
            <w:pPr>
              <w:pStyle w:val="Texttabulky"/>
              <w:jc w:val="center"/>
              <w:rPr>
                <w:rFonts w:eastAsia="Arial Unicode MS"/>
              </w:rPr>
            </w:pPr>
            <w:r w:rsidRPr="00A2188B">
              <w:rPr>
                <w:rFonts w:eastAsia="Arial Unicode MS"/>
              </w:rPr>
              <w:t>DS</w:t>
            </w:r>
          </w:p>
        </w:tc>
      </w:tr>
      <w:tr w:rsidR="00A55074" w:rsidRPr="00A2188B" w14:paraId="71FBC452" w14:textId="77777777" w:rsidTr="00343611">
        <w:trPr>
          <w:jc w:val="center"/>
        </w:trPr>
        <w:tc>
          <w:tcPr>
            <w:tcW w:w="3446" w:type="dxa"/>
            <w:tcBorders>
              <w:left w:val="single" w:sz="4" w:space="0" w:color="auto"/>
            </w:tcBorders>
          </w:tcPr>
          <w:p w14:paraId="7970F555" w14:textId="77777777" w:rsidR="00A55074" w:rsidRPr="00A2188B" w:rsidRDefault="00A55074" w:rsidP="00343611">
            <w:pPr>
              <w:pStyle w:val="Texttabulky"/>
              <w:rPr>
                <w:rFonts w:eastAsia="Arial Unicode MS"/>
              </w:rPr>
            </w:pPr>
            <w:r w:rsidRPr="00A2188B">
              <w:rPr>
                <w:rFonts w:eastAsia="Arial Unicode MS"/>
              </w:rPr>
              <w:t>Pevnost v</w:t>
            </w:r>
            <w:r>
              <w:rPr>
                <w:rFonts w:eastAsia="Arial Unicode MS"/>
              </w:rPr>
              <w:t> </w:t>
            </w:r>
            <w:r w:rsidRPr="00A2188B">
              <w:rPr>
                <w:rFonts w:eastAsia="Arial Unicode MS"/>
              </w:rPr>
              <w:t>tahu papírové pásky</w:t>
            </w:r>
          </w:p>
        </w:tc>
        <w:tc>
          <w:tcPr>
            <w:tcW w:w="1500" w:type="dxa"/>
          </w:tcPr>
          <w:p w14:paraId="7D80B490" w14:textId="77777777" w:rsidR="00A55074" w:rsidRPr="00A2188B" w:rsidRDefault="00A55074" w:rsidP="00343611">
            <w:pPr>
              <w:pStyle w:val="Texttabulky"/>
              <w:jc w:val="center"/>
              <w:rPr>
                <w:rFonts w:eastAsia="Arial Unicode MS"/>
              </w:rPr>
            </w:pPr>
            <w:r w:rsidRPr="00A2188B">
              <w:rPr>
                <w:rFonts w:eastAsia="Arial Unicode MS"/>
              </w:rPr>
              <w:t>4.9</w:t>
            </w:r>
          </w:p>
        </w:tc>
        <w:tc>
          <w:tcPr>
            <w:tcW w:w="3800" w:type="dxa"/>
            <w:tcBorders>
              <w:right w:val="single" w:sz="4" w:space="0" w:color="auto"/>
            </w:tcBorders>
          </w:tcPr>
          <w:p w14:paraId="4D9BEDBA" w14:textId="77777777" w:rsidR="00A55074" w:rsidRPr="00A2188B" w:rsidRDefault="00A55074" w:rsidP="00343611">
            <w:pPr>
              <w:pStyle w:val="Texttabulky"/>
              <w:jc w:val="center"/>
              <w:rPr>
                <w:rFonts w:eastAsia="Arial Unicode MS"/>
              </w:rPr>
            </w:pPr>
            <w:r w:rsidRPr="00A2188B">
              <w:rPr>
                <w:rFonts w:eastAsia="Arial Unicode MS"/>
                <w:i/>
                <w:lang w:val="en-GB"/>
              </w:rPr>
              <w:t>σ</w:t>
            </w:r>
          </w:p>
        </w:tc>
      </w:tr>
      <w:tr w:rsidR="00A55074" w:rsidRPr="00A2188B" w14:paraId="58A1FFD4" w14:textId="77777777" w:rsidTr="00343611">
        <w:trPr>
          <w:jc w:val="center"/>
        </w:trPr>
        <w:tc>
          <w:tcPr>
            <w:tcW w:w="3446" w:type="dxa"/>
            <w:tcBorders>
              <w:left w:val="single" w:sz="4" w:space="0" w:color="auto"/>
              <w:bottom w:val="single" w:sz="4" w:space="0" w:color="auto"/>
            </w:tcBorders>
          </w:tcPr>
          <w:p w14:paraId="62A77021" w14:textId="77777777" w:rsidR="00A55074" w:rsidRPr="00A2188B" w:rsidRDefault="00A55074" w:rsidP="00343611">
            <w:pPr>
              <w:pStyle w:val="Texttabulky"/>
              <w:rPr>
                <w:rFonts w:eastAsia="Arial Unicode MS"/>
              </w:rPr>
            </w:pPr>
            <w:r w:rsidRPr="00A2188B">
              <w:rPr>
                <w:rFonts w:eastAsia="Arial Unicode MS"/>
              </w:rPr>
              <w:t>Viz dokumentace výrobce</w:t>
            </w:r>
          </w:p>
        </w:tc>
        <w:tc>
          <w:tcPr>
            <w:tcW w:w="1500" w:type="dxa"/>
            <w:tcBorders>
              <w:bottom w:val="single" w:sz="4" w:space="0" w:color="auto"/>
            </w:tcBorders>
          </w:tcPr>
          <w:p w14:paraId="4C858305" w14:textId="77777777" w:rsidR="00A55074" w:rsidRPr="00A2188B" w:rsidRDefault="00A55074" w:rsidP="00343611">
            <w:pPr>
              <w:pStyle w:val="Texttabulky"/>
              <w:jc w:val="center"/>
              <w:rPr>
                <w:rFonts w:eastAsia="Arial Unicode MS"/>
              </w:rPr>
            </w:pPr>
          </w:p>
        </w:tc>
        <w:tc>
          <w:tcPr>
            <w:tcW w:w="3800" w:type="dxa"/>
            <w:tcBorders>
              <w:bottom w:val="single" w:sz="4" w:space="0" w:color="auto"/>
              <w:right w:val="single" w:sz="4" w:space="0" w:color="auto"/>
            </w:tcBorders>
          </w:tcPr>
          <w:p w14:paraId="39003946" w14:textId="77777777" w:rsidR="00A55074" w:rsidRPr="00A2188B" w:rsidRDefault="00A55074" w:rsidP="00343611">
            <w:pPr>
              <w:pStyle w:val="Texttabulky"/>
              <w:jc w:val="center"/>
              <w:rPr>
                <w:rFonts w:eastAsia="Arial Unicode MS"/>
              </w:rPr>
            </w:pPr>
            <w:hyperlink r:id="rId16" w:history="1">
              <w:r w:rsidRPr="00A2188B">
                <w:rPr>
                  <w:rStyle w:val="Hypertextovodkaz"/>
                  <w:rFonts w:eastAsia="Arial Unicode MS"/>
                  <w:lang w:eastAsia="x-none"/>
                </w:rPr>
                <w:t>www.manufacturers_internet_address.com</w:t>
              </w:r>
            </w:hyperlink>
          </w:p>
        </w:tc>
      </w:tr>
    </w:tbl>
    <w:p w14:paraId="59E05A35" w14:textId="77777777" w:rsidR="00A55074" w:rsidRDefault="00A55074" w:rsidP="00A55074">
      <w:pPr>
        <w:pStyle w:val="Nadpis1"/>
        <w:spacing w:before="0"/>
      </w:pPr>
      <w:bookmarkStart w:id="45" w:name="_Toc396308542"/>
      <w:bookmarkEnd w:id="40"/>
      <w:r w:rsidRPr="00A2188B">
        <w:lastRenderedPageBreak/>
        <w:t>6</w:t>
      </w:r>
      <w:r w:rsidRPr="00A2188B">
        <w:rPr>
          <w:rFonts w:ascii="Arial Unicode MS" w:eastAsia="Arial Unicode MS" w:hAnsi="Arial Unicode MS" w:cs="Arial Unicode MS" w:hint="eastAsia"/>
        </w:rPr>
        <w:t> </w:t>
      </w:r>
      <w:r w:rsidRPr="00A2188B">
        <w:t>Posuzování a</w:t>
      </w:r>
      <w:r>
        <w:t> </w:t>
      </w:r>
      <w:r w:rsidRPr="00A2188B">
        <w:t>ověřování stálosti vlastností</w:t>
      </w:r>
      <w:r>
        <w:t xml:space="preserve"> – </w:t>
      </w:r>
      <w:r w:rsidRPr="00A2188B">
        <w:t>AVCP</w:t>
      </w:r>
      <w:bookmarkEnd w:id="45"/>
    </w:p>
    <w:p w14:paraId="0EF17634" w14:textId="77777777" w:rsidR="00A55074" w:rsidRPr="008B7FE6" w:rsidRDefault="00A55074" w:rsidP="00A55074">
      <w:pPr>
        <w:pStyle w:val="Textnormy"/>
        <w:rPr>
          <w:color w:val="FF0000"/>
          <w:highlight w:val="yellow"/>
        </w:rPr>
      </w:pPr>
      <w:r w:rsidRPr="005C7334">
        <w:rPr>
          <w:color w:val="FF0000"/>
          <w:highlight w:val="yellow"/>
        </w:rPr>
        <w:t xml:space="preserve">Standardní opakující se texty </w:t>
      </w:r>
      <w:r>
        <w:rPr>
          <w:color w:val="FF0000"/>
          <w:highlight w:val="yellow"/>
        </w:rPr>
        <w:t>kapitoly 6 </w:t>
      </w:r>
      <w:r w:rsidRPr="005C7334">
        <w:rPr>
          <w:color w:val="FF0000"/>
          <w:highlight w:val="yellow"/>
        </w:rPr>
        <w:t>jsou uvedeny na w</w:t>
      </w:r>
      <w:r>
        <w:rPr>
          <w:color w:val="FF0000"/>
          <w:highlight w:val="yellow"/>
        </w:rPr>
        <w:t>e</w:t>
      </w:r>
      <w:r w:rsidRPr="005C7334">
        <w:rPr>
          <w:color w:val="FF0000"/>
          <w:highlight w:val="yellow"/>
        </w:rPr>
        <w:t xml:space="preserve">bových stránkách </w:t>
      </w:r>
      <w:r>
        <w:rPr>
          <w:color w:val="FF0000"/>
          <w:highlight w:val="yellow"/>
        </w:rPr>
        <w:t>České agentury pro standardizaci</w:t>
      </w:r>
      <w:r w:rsidRPr="005C7334">
        <w:rPr>
          <w:color w:val="FF0000"/>
          <w:highlight w:val="yellow"/>
        </w:rPr>
        <w:t xml:space="preserve"> v</w:t>
      </w:r>
      <w:r>
        <w:rPr>
          <w:color w:val="FF0000"/>
          <w:highlight w:val="yellow"/>
        </w:rPr>
        <w:t> </w:t>
      </w:r>
      <w:r w:rsidRPr="005C7334">
        <w:rPr>
          <w:color w:val="FF0000"/>
          <w:highlight w:val="yellow"/>
        </w:rPr>
        <w:t xml:space="preserve">samostatné příloze MPN1/SPE </w:t>
      </w:r>
      <w:r>
        <w:rPr>
          <w:color w:val="FF0000"/>
          <w:highlight w:val="yellow"/>
        </w:rPr>
        <w:t>2B</w:t>
      </w:r>
      <w:r w:rsidRPr="005C7334">
        <w:rPr>
          <w:color w:val="FF0000"/>
          <w:highlight w:val="yellow"/>
        </w:rPr>
        <w:t xml:space="preserve"> </w:t>
      </w:r>
      <w:r w:rsidRPr="008B7FE6">
        <w:rPr>
          <w:rFonts w:cs="Arial"/>
          <w:color w:val="FF0000"/>
          <w:highlight w:val="yellow"/>
        </w:rPr>
        <w:t>P</w:t>
      </w:r>
      <w:r w:rsidRPr="008B7FE6">
        <w:rPr>
          <w:rFonts w:cs="Arial"/>
          <w:color w:val="FF0000"/>
          <w:highlight w:val="yellow"/>
          <w:shd w:val="clear" w:color="auto" w:fill="FFFFFF"/>
        </w:rPr>
        <w:t>ostup vypracování článků týkajících se posuzování a</w:t>
      </w:r>
      <w:r>
        <w:rPr>
          <w:rFonts w:cs="Arial"/>
          <w:color w:val="FF0000"/>
          <w:highlight w:val="yellow"/>
          <w:shd w:val="clear" w:color="auto" w:fill="FFFFFF"/>
        </w:rPr>
        <w:t> </w:t>
      </w:r>
      <w:r w:rsidRPr="008B7FE6">
        <w:rPr>
          <w:rFonts w:cs="Arial"/>
          <w:color w:val="FF0000"/>
          <w:highlight w:val="yellow"/>
          <w:shd w:val="clear" w:color="auto" w:fill="FFFFFF"/>
        </w:rPr>
        <w:t>ověřování stálosti vlastností (AVCP</w:t>
      </w:r>
      <w:r>
        <w:rPr>
          <w:rFonts w:cs="Arial"/>
          <w:color w:val="FF0000"/>
          <w:highlight w:val="yellow"/>
          <w:shd w:val="clear" w:color="auto" w:fill="FFFFFF"/>
        </w:rPr>
        <w:t>) v </w:t>
      </w:r>
      <w:r w:rsidRPr="008B7FE6">
        <w:rPr>
          <w:rFonts w:cs="Arial"/>
          <w:color w:val="FF0000"/>
          <w:highlight w:val="yellow"/>
          <w:shd w:val="clear" w:color="auto" w:fill="FFFFFF"/>
        </w:rPr>
        <w:t>harmonizovaných normách stavebních výrobků</w:t>
      </w:r>
      <w:r>
        <w:rPr>
          <w:rFonts w:cs="Arial"/>
          <w:color w:val="FF0000"/>
          <w:highlight w:val="yellow"/>
          <w:shd w:val="clear" w:color="auto" w:fill="FFFFFF"/>
        </w:rPr>
        <w:t>.</w:t>
      </w:r>
    </w:p>
    <w:p w14:paraId="60505F49" w14:textId="77777777" w:rsidR="00A55074" w:rsidRPr="005C7334" w:rsidRDefault="00A55074" w:rsidP="00A55074">
      <w:pPr>
        <w:pStyle w:val="Textnormy"/>
      </w:pPr>
      <w:r w:rsidRPr="0020480E">
        <w:rPr>
          <w:color w:val="FF0000"/>
          <w:u w:val="single"/>
        </w:rPr>
        <w:t>https://www.agentura-cas.cz/standardizace/tvorba-norem/metodicke-pokyny/samostatne-prilohy-obecne-vyklady-k-mpn-12011/</w:t>
      </w:r>
    </w:p>
    <w:p w14:paraId="06646EC8" w14:textId="77777777" w:rsidR="00A55074" w:rsidRDefault="00A55074" w:rsidP="00A55074">
      <w:pPr>
        <w:pStyle w:val="Nadpis1"/>
        <w:pageBreakBefore/>
        <w:spacing w:before="0"/>
      </w:pPr>
      <w:bookmarkStart w:id="46" w:name="_Toc396308572"/>
      <w:bookmarkStart w:id="47" w:name="_Toc206813328"/>
      <w:bookmarkStart w:id="48" w:name="_Toc210458441"/>
      <w:bookmarkStart w:id="49" w:name="_Toc293321329"/>
      <w:bookmarkStart w:id="50" w:name="_Toc313521850"/>
      <w:bookmarkStart w:id="51" w:name="_Toc359573700"/>
      <w:r w:rsidRPr="00A2188B">
        <w:lastRenderedPageBreak/>
        <w:t xml:space="preserve">Příloha ZA </w:t>
      </w:r>
      <w:r w:rsidRPr="00A2188B">
        <w:rPr>
          <w:b w:val="0"/>
        </w:rPr>
        <w:t>(informativní)</w:t>
      </w:r>
    </w:p>
    <w:p w14:paraId="55FA9A6A" w14:textId="77777777" w:rsidR="00A55074" w:rsidRDefault="00A55074" w:rsidP="00A55074">
      <w:pPr>
        <w:pStyle w:val="Nadpis1"/>
      </w:pPr>
      <w:r w:rsidRPr="00A2188B">
        <w:t>Ustanovení této evropské normy, která se týkají ustanovení nařízení EU o</w:t>
      </w:r>
      <w:r>
        <w:t> </w:t>
      </w:r>
      <w:r w:rsidRPr="00A2188B">
        <w:t>stavebních výrobcích</w:t>
      </w:r>
      <w:bookmarkEnd w:id="46"/>
    </w:p>
    <w:p w14:paraId="0A02B159" w14:textId="77777777" w:rsidR="00A55074" w:rsidRPr="005C7334" w:rsidRDefault="00A55074" w:rsidP="00A55074">
      <w:pPr>
        <w:pStyle w:val="Textnormy"/>
        <w:rPr>
          <w:color w:val="FF0000"/>
          <w:highlight w:val="yellow"/>
        </w:rPr>
      </w:pPr>
      <w:r w:rsidRPr="005C7334">
        <w:rPr>
          <w:color w:val="FF0000"/>
          <w:highlight w:val="yellow"/>
        </w:rPr>
        <w:t>Standardní opakující se texty přílohy ZA jsou uvedeny na w</w:t>
      </w:r>
      <w:r>
        <w:rPr>
          <w:color w:val="FF0000"/>
          <w:highlight w:val="yellow"/>
        </w:rPr>
        <w:t>e</w:t>
      </w:r>
      <w:r w:rsidRPr="005C7334">
        <w:rPr>
          <w:color w:val="FF0000"/>
          <w:highlight w:val="yellow"/>
        </w:rPr>
        <w:t xml:space="preserve">bových stránkách </w:t>
      </w:r>
      <w:r>
        <w:rPr>
          <w:color w:val="FF0000"/>
          <w:highlight w:val="yellow"/>
        </w:rPr>
        <w:t>České agentury pro standardizaci</w:t>
      </w:r>
      <w:r w:rsidRPr="005C7334">
        <w:rPr>
          <w:color w:val="FF0000"/>
          <w:highlight w:val="yellow"/>
        </w:rPr>
        <w:t xml:space="preserve"> v</w:t>
      </w:r>
      <w:r>
        <w:rPr>
          <w:color w:val="FF0000"/>
          <w:highlight w:val="yellow"/>
        </w:rPr>
        <w:t> </w:t>
      </w:r>
      <w:r w:rsidRPr="005C7334">
        <w:rPr>
          <w:color w:val="FF0000"/>
          <w:highlight w:val="yellow"/>
        </w:rPr>
        <w:t>samostatné příloze MPN1/SPE 2A Šablona pro přílohy ZA</w:t>
      </w:r>
      <w:r>
        <w:rPr>
          <w:color w:val="FF0000"/>
          <w:highlight w:val="yellow"/>
        </w:rPr>
        <w:t>.</w:t>
      </w:r>
      <w:r w:rsidRPr="005C7334">
        <w:rPr>
          <w:color w:val="FF0000"/>
          <w:highlight w:val="yellow"/>
        </w:rPr>
        <w:t xml:space="preserve"> </w:t>
      </w:r>
    </w:p>
    <w:p w14:paraId="245A58D5" w14:textId="77777777" w:rsidR="00A55074" w:rsidRPr="00A2188B" w:rsidRDefault="00A55074" w:rsidP="00A55074">
      <w:pPr>
        <w:pStyle w:val="Textnormy"/>
      </w:pPr>
      <w:r w:rsidRPr="0020480E">
        <w:rPr>
          <w:color w:val="FF0000"/>
          <w:u w:val="single"/>
        </w:rPr>
        <w:t>https://www.agentura-cas.cz/standardizace/tvorba-norem/metodicke-pokyny/samostatne-prilohy-obecne-vyklady-k-mpn-12011/</w:t>
      </w:r>
    </w:p>
    <w:p w14:paraId="390EB161" w14:textId="77777777" w:rsidR="00A55074" w:rsidRPr="00A2188B" w:rsidRDefault="00A55074" w:rsidP="00A55074">
      <w:pPr>
        <w:pStyle w:val="Nadpis1"/>
        <w:pageBreakBefore/>
        <w:spacing w:before="0"/>
      </w:pPr>
      <w:bookmarkStart w:id="52" w:name="_Toc396308581"/>
      <w:r w:rsidRPr="00A2188B">
        <w:lastRenderedPageBreak/>
        <w:t>Bibliografie</w:t>
      </w:r>
      <w:bookmarkEnd w:id="47"/>
      <w:bookmarkEnd w:id="48"/>
      <w:bookmarkEnd w:id="49"/>
      <w:bookmarkEnd w:id="50"/>
      <w:bookmarkEnd w:id="51"/>
      <w:bookmarkEnd w:id="52"/>
    </w:p>
    <w:p w14:paraId="03B7B374" w14:textId="77777777" w:rsidR="00A55074" w:rsidRPr="004C0290" w:rsidRDefault="00A55074" w:rsidP="00A55074">
      <w:pPr>
        <w:pStyle w:val="Textnormy"/>
        <w:ind w:left="567" w:hanging="567"/>
        <w:rPr>
          <w:bCs/>
          <w:lang w:val="en-GB"/>
        </w:rPr>
      </w:pPr>
      <w:r w:rsidRPr="004C0290">
        <w:t>[1]</w:t>
      </w:r>
      <w:r w:rsidRPr="004C0290">
        <w:tab/>
      </w:r>
      <w:r w:rsidRPr="004C0290">
        <w:rPr>
          <w:lang w:val="en-GB"/>
        </w:rPr>
        <w:t xml:space="preserve">EN 13915, </w:t>
      </w:r>
      <w:r w:rsidRPr="004C0290">
        <w:rPr>
          <w:i/>
          <w:lang w:val="en-GB"/>
        </w:rPr>
        <w:t>Prefabricated gypsum plasterboard panels with a</w:t>
      </w:r>
      <w:r>
        <w:rPr>
          <w:i/>
          <w:lang w:val="en-GB"/>
        </w:rPr>
        <w:t> </w:t>
      </w:r>
      <w:r w:rsidRPr="004C0290">
        <w:rPr>
          <w:i/>
          <w:lang w:val="en-GB"/>
        </w:rPr>
        <w:t>cellular paperboard core</w:t>
      </w:r>
      <w:r>
        <w:rPr>
          <w:i/>
          <w:lang w:val="en-GB"/>
        </w:rPr>
        <w:t xml:space="preserve"> – </w:t>
      </w:r>
      <w:r w:rsidRPr="004C0290">
        <w:rPr>
          <w:i/>
          <w:lang w:val="en-GB"/>
        </w:rPr>
        <w:t xml:space="preserve">Definitions, </w:t>
      </w:r>
      <w:r w:rsidRPr="004C0290">
        <w:rPr>
          <w:i/>
          <w:lang w:val="en-GB"/>
        </w:rPr>
        <w:br/>
        <w:t>requirements and test methods</w:t>
      </w:r>
    </w:p>
    <w:p w14:paraId="396C1B1E" w14:textId="77777777" w:rsidR="00A55074" w:rsidRPr="004C0290" w:rsidRDefault="00A55074" w:rsidP="00A55074">
      <w:pPr>
        <w:pStyle w:val="Textnormy"/>
        <w:ind w:left="567" w:hanging="567"/>
        <w:rPr>
          <w:bCs/>
          <w:lang w:val="en-GB"/>
        </w:rPr>
      </w:pPr>
      <w:r w:rsidRPr="004C0290">
        <w:t>[2]</w:t>
      </w:r>
      <w:r w:rsidRPr="004C0290">
        <w:tab/>
      </w:r>
      <w:r w:rsidRPr="004C0290">
        <w:rPr>
          <w:spacing w:val="-2"/>
          <w:lang w:val="en-GB"/>
        </w:rPr>
        <w:t xml:space="preserve">EN 13950, </w:t>
      </w:r>
      <w:r w:rsidRPr="004C0290">
        <w:rPr>
          <w:i/>
          <w:spacing w:val="-2"/>
          <w:lang w:val="en-GB"/>
        </w:rPr>
        <w:t>Gypsum plasterboard thermal/acoustic insulation composite panels</w:t>
      </w:r>
      <w:r>
        <w:rPr>
          <w:i/>
          <w:spacing w:val="-2"/>
          <w:lang w:val="en-GB"/>
        </w:rPr>
        <w:t xml:space="preserve"> – </w:t>
      </w:r>
      <w:r w:rsidRPr="004C0290">
        <w:rPr>
          <w:i/>
          <w:spacing w:val="-2"/>
          <w:lang w:val="en-GB"/>
        </w:rPr>
        <w:t>Definitions, requirements</w:t>
      </w:r>
      <w:r w:rsidRPr="004C0290">
        <w:rPr>
          <w:i/>
          <w:lang w:val="en-GB"/>
        </w:rPr>
        <w:t xml:space="preserve"> and test methods</w:t>
      </w:r>
    </w:p>
    <w:p w14:paraId="03592DA9" w14:textId="77777777" w:rsidR="00A55074" w:rsidRPr="004C0290" w:rsidRDefault="00A55074" w:rsidP="00A55074">
      <w:pPr>
        <w:pStyle w:val="Textnormy"/>
        <w:ind w:left="567" w:hanging="567"/>
        <w:rPr>
          <w:bCs/>
          <w:lang w:val="en-GB"/>
        </w:rPr>
      </w:pPr>
      <w:r w:rsidRPr="004C0290">
        <w:t>[3]</w:t>
      </w:r>
      <w:r w:rsidRPr="004C0290">
        <w:tab/>
      </w:r>
      <w:r w:rsidRPr="004C0290">
        <w:rPr>
          <w:spacing w:val="-2"/>
          <w:lang w:val="en-GB"/>
        </w:rPr>
        <w:t xml:space="preserve">EN 14190, </w:t>
      </w:r>
      <w:r w:rsidRPr="004C0290">
        <w:rPr>
          <w:i/>
          <w:spacing w:val="-2"/>
          <w:lang w:val="en-GB"/>
        </w:rPr>
        <w:t>Gypsum plasterboard products from reprocessing</w:t>
      </w:r>
      <w:r>
        <w:rPr>
          <w:i/>
          <w:spacing w:val="-2"/>
          <w:lang w:val="en-GB"/>
        </w:rPr>
        <w:t xml:space="preserve"> – </w:t>
      </w:r>
      <w:r w:rsidRPr="004C0290">
        <w:rPr>
          <w:i/>
          <w:spacing w:val="-2"/>
          <w:lang w:val="en-GB"/>
        </w:rPr>
        <w:t>Definitions, requirements and test methods</w:t>
      </w:r>
    </w:p>
    <w:p w14:paraId="0F39651E" w14:textId="77777777" w:rsidR="00A55074" w:rsidRPr="004C0290" w:rsidRDefault="00A55074" w:rsidP="00A55074">
      <w:pPr>
        <w:pStyle w:val="Textnormy"/>
        <w:ind w:left="567" w:hanging="567"/>
        <w:rPr>
          <w:bCs/>
          <w:lang w:val="en-GB"/>
        </w:rPr>
      </w:pPr>
      <w:r w:rsidRPr="004C0290">
        <w:t>[4]</w:t>
      </w:r>
      <w:r w:rsidRPr="004C0290">
        <w:tab/>
      </w:r>
      <w:r w:rsidRPr="004C0290">
        <w:rPr>
          <w:lang w:val="en-GB"/>
        </w:rPr>
        <w:t xml:space="preserve">EN 14195, </w:t>
      </w:r>
      <w:r w:rsidRPr="004C0290">
        <w:rPr>
          <w:i/>
          <w:lang w:val="en-GB"/>
        </w:rPr>
        <w:t>Metal framing components for gypsum plasterboard systems</w:t>
      </w:r>
      <w:r>
        <w:rPr>
          <w:i/>
          <w:lang w:val="en-GB"/>
        </w:rPr>
        <w:t xml:space="preserve"> – </w:t>
      </w:r>
      <w:r w:rsidRPr="004C0290">
        <w:rPr>
          <w:i/>
          <w:lang w:val="en-GB"/>
        </w:rPr>
        <w:t>Definitions, requirements and test methods</w:t>
      </w:r>
    </w:p>
    <w:p w14:paraId="27E8F6A2" w14:textId="77777777" w:rsidR="00A55074" w:rsidRPr="004C0290" w:rsidRDefault="00A55074" w:rsidP="00A55074">
      <w:pPr>
        <w:pStyle w:val="Textnormy"/>
        <w:ind w:left="567" w:hanging="567"/>
        <w:rPr>
          <w:bCs/>
          <w:lang w:val="en-GB"/>
        </w:rPr>
      </w:pPr>
      <w:r w:rsidRPr="004C0290">
        <w:t>[5]</w:t>
      </w:r>
      <w:r w:rsidRPr="004C0290">
        <w:tab/>
      </w:r>
      <w:r w:rsidRPr="004C0290">
        <w:rPr>
          <w:lang w:val="en-GB"/>
        </w:rPr>
        <w:t xml:space="preserve">EN 14209, </w:t>
      </w:r>
      <w:r w:rsidRPr="004C0290">
        <w:rPr>
          <w:i/>
          <w:lang w:val="en-GB"/>
        </w:rPr>
        <w:t>Preformed plasterboard cornices</w:t>
      </w:r>
      <w:r>
        <w:rPr>
          <w:i/>
          <w:lang w:val="en-GB"/>
        </w:rPr>
        <w:t xml:space="preserve"> – </w:t>
      </w:r>
      <w:r w:rsidRPr="004C0290">
        <w:rPr>
          <w:i/>
          <w:lang w:val="en-GB"/>
        </w:rPr>
        <w:t>Definitions, requirements and test methods</w:t>
      </w:r>
    </w:p>
    <w:p w14:paraId="2F4A6A50" w14:textId="77777777" w:rsidR="00A55074" w:rsidRPr="004C0290" w:rsidRDefault="00A55074" w:rsidP="00A55074">
      <w:pPr>
        <w:pStyle w:val="Textnormy"/>
        <w:ind w:left="567" w:hanging="567"/>
        <w:rPr>
          <w:bCs/>
          <w:lang w:val="en-GB"/>
        </w:rPr>
      </w:pPr>
      <w:r w:rsidRPr="004C0290">
        <w:t>[6]</w:t>
      </w:r>
      <w:r w:rsidRPr="004C0290">
        <w:tab/>
      </w:r>
      <w:r w:rsidRPr="004C0290">
        <w:rPr>
          <w:lang w:val="en-GB"/>
        </w:rPr>
        <w:t xml:space="preserve">EN 15283-1, </w:t>
      </w:r>
      <w:r w:rsidRPr="004C0290">
        <w:rPr>
          <w:i/>
          <w:lang w:val="en-GB"/>
        </w:rPr>
        <w:t>Gypsum boards with fibrous reinforcement</w:t>
      </w:r>
      <w:r>
        <w:rPr>
          <w:i/>
          <w:lang w:val="en-GB"/>
        </w:rPr>
        <w:t xml:space="preserve"> – </w:t>
      </w:r>
      <w:r w:rsidRPr="004C0290">
        <w:rPr>
          <w:i/>
          <w:lang w:val="en-GB"/>
        </w:rPr>
        <w:t>Definitions, requirements and test methods</w:t>
      </w:r>
      <w:r>
        <w:rPr>
          <w:i/>
          <w:lang w:val="en-GB"/>
        </w:rPr>
        <w:t xml:space="preserve"> – </w:t>
      </w:r>
      <w:r w:rsidRPr="004C0290">
        <w:rPr>
          <w:i/>
          <w:lang w:val="en-GB"/>
        </w:rPr>
        <w:t>Part 1: Gypsum boards with mat reinforcement</w:t>
      </w:r>
    </w:p>
    <w:p w14:paraId="54DD4126" w14:textId="77777777" w:rsidR="00A55074" w:rsidRPr="004C0290" w:rsidRDefault="00A55074" w:rsidP="00A55074">
      <w:pPr>
        <w:pStyle w:val="Textnormy"/>
        <w:ind w:left="567" w:hanging="567"/>
        <w:rPr>
          <w:bCs/>
          <w:lang w:val="en-GB"/>
        </w:rPr>
      </w:pPr>
      <w:r w:rsidRPr="004C0290">
        <w:t>[7]</w:t>
      </w:r>
      <w:r w:rsidRPr="004C0290">
        <w:tab/>
      </w:r>
      <w:r w:rsidRPr="004C0290">
        <w:rPr>
          <w:lang w:val="en-GB"/>
        </w:rPr>
        <w:t xml:space="preserve">EN 15283-2, </w:t>
      </w:r>
      <w:r w:rsidRPr="004C0290">
        <w:rPr>
          <w:i/>
          <w:lang w:val="en-GB"/>
        </w:rPr>
        <w:t>Gypsum boards with fibrous reinforcement</w:t>
      </w:r>
      <w:r>
        <w:rPr>
          <w:i/>
          <w:lang w:val="en-GB"/>
        </w:rPr>
        <w:t xml:space="preserve"> – </w:t>
      </w:r>
      <w:r w:rsidRPr="004C0290">
        <w:rPr>
          <w:i/>
          <w:lang w:val="en-GB"/>
        </w:rPr>
        <w:t>Definitions, requirements and test methods</w:t>
      </w:r>
      <w:r>
        <w:rPr>
          <w:i/>
          <w:lang w:val="en-GB"/>
        </w:rPr>
        <w:t xml:space="preserve"> – </w:t>
      </w:r>
      <w:r w:rsidRPr="004C0290">
        <w:rPr>
          <w:i/>
          <w:lang w:val="en-GB"/>
        </w:rPr>
        <w:t>Part 2: Gypsum fibre boards</w:t>
      </w:r>
    </w:p>
    <w:p w14:paraId="47193096" w14:textId="77777777" w:rsidR="00A83EAB" w:rsidRPr="00A55074" w:rsidRDefault="00A55074" w:rsidP="00A55074">
      <w:pPr>
        <w:pStyle w:val="Textnormy"/>
        <w:ind w:left="567" w:hanging="567"/>
        <w:rPr>
          <w:lang w:val="en-GB"/>
        </w:rPr>
      </w:pPr>
      <w:r w:rsidRPr="00A55074">
        <w:rPr>
          <w:lang w:val="en-GB"/>
        </w:rPr>
        <w:t>[8]</w:t>
      </w:r>
      <w:r w:rsidRPr="00A55074">
        <w:rPr>
          <w:lang w:val="en-GB"/>
        </w:rPr>
        <w:tab/>
      </w:r>
      <w:r w:rsidRPr="004C0290">
        <w:rPr>
          <w:lang w:val="en-GB"/>
        </w:rPr>
        <w:t xml:space="preserve">EN ISO 9001:2008, </w:t>
      </w:r>
      <w:r w:rsidRPr="00A55074">
        <w:rPr>
          <w:lang w:val="en-GB"/>
        </w:rPr>
        <w:t>Quality management systems – Requirements (ISO 9001:2008)</w:t>
      </w:r>
    </w:p>
    <w:sectPr w:rsidR="00A83EAB" w:rsidRPr="00A55074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D75F4D" w14:textId="77777777" w:rsidR="00F50ACC" w:rsidRDefault="00F50ACC">
      <w:r>
        <w:separator/>
      </w:r>
    </w:p>
  </w:endnote>
  <w:endnote w:type="continuationSeparator" w:id="0">
    <w:p w14:paraId="48E49DF8" w14:textId="77777777" w:rsidR="00F50ACC" w:rsidRDefault="00F50A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  <w:embedBold r:id="rId1" w:subsetted="1" w:fontKey="{68785104-2EF7-4353-9B0A-AC6239414D1B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1BA25C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790EC5">
      <w:rPr>
        <w:rStyle w:val="slostrnky"/>
        <w:noProof/>
      </w:rPr>
      <w:t>2</w:t>
    </w:r>
    <w:r>
      <w:rPr>
        <w:rStyle w:val="slostrnky"/>
      </w:rPr>
      <w:fldChar w:fldCharType="end"/>
    </w:r>
  </w:p>
  <w:p w14:paraId="2C307E63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7E91D8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790EC5">
      <w:rPr>
        <w:rStyle w:val="slostrnky"/>
        <w:noProof/>
      </w:rPr>
      <w:t>2</w:t>
    </w:r>
    <w:r>
      <w:rPr>
        <w:rStyle w:val="slostrnky"/>
      </w:rPr>
      <w:fldChar w:fldCharType="end"/>
    </w:r>
  </w:p>
  <w:p w14:paraId="28ADB8F4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BF7577" w14:textId="18EA5D66" w:rsidR="00ED6C91" w:rsidRPr="00166D3D" w:rsidRDefault="00ED6C91" w:rsidP="00ED6C91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3600" behindDoc="0" locked="0" layoutInCell="1" allowOverlap="1" wp14:anchorId="7D0A33F6" wp14:editId="0B786D7D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400" cy="568800"/>
          <wp:effectExtent l="0" t="0" r="7620" b="3175"/>
          <wp:wrapNone/>
          <wp:docPr id="1240788449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171812" name="Obrázek 3" descr="Obsah obrázku text, Písmo, logo, bílé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4400" cy="56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 xml:space="preserve">© Česká agentura pro standardizaci, </w:t>
    </w:r>
    <w:r w:rsidR="00230075">
      <w:rPr>
        <w:sz w:val="16"/>
      </w:rPr>
      <w:t>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CA819B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CF715A">
      <w:rPr>
        <w:rStyle w:val="slostrnky"/>
        <w:noProof/>
      </w:rPr>
      <w:t>6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C19A40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CF715A">
      <w:rPr>
        <w:rStyle w:val="slostrnky"/>
        <w:noProof/>
      </w:rPr>
      <w:t>5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B3DED0" w14:textId="77777777" w:rsidR="00F50ACC" w:rsidRDefault="00F50ACC">
      <w:r>
        <w:separator/>
      </w:r>
    </w:p>
  </w:footnote>
  <w:footnote w:type="continuationSeparator" w:id="0">
    <w:p w14:paraId="4CC5FFC2" w14:textId="77777777" w:rsidR="00F50ACC" w:rsidRDefault="00F50A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FFC810" w14:textId="77777777" w:rsidR="00F34746" w:rsidRDefault="00000000">
    <w:pPr>
      <w:pStyle w:val="Zhlav"/>
    </w:pPr>
    <w:r>
      <w:rPr>
        <w:noProof/>
      </w:rPr>
      <w:pict w14:anchorId="5EB3031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2210182" o:spid="_x0000_s1026" type="#_x0000_t136" style="position:absolute;left:0;text-align:left;margin-left:0;margin-top:0;width:625.75pt;height:73.6pt;rotation:315;z-index:-25165312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1B6821" w14:textId="77777777" w:rsidR="00F34746" w:rsidRDefault="00000000">
    <w:pPr>
      <w:pStyle w:val="Zhlav"/>
      <w:jc w:val="right"/>
    </w:pPr>
    <w:r>
      <w:rPr>
        <w:noProof/>
      </w:rPr>
      <w:pict w14:anchorId="1489815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2210183" o:spid="_x0000_s1027" type="#_x0000_t136" style="position:absolute;left:0;text-align:left;margin-left:0;margin-top:0;width:625.75pt;height:73.6pt;rotation:315;z-index:-25165107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C50BA1" w14:textId="77777777" w:rsidR="001245C9" w:rsidRDefault="00000000">
    <w:pPr>
      <w:pStyle w:val="Zhlav"/>
    </w:pPr>
    <w:r>
      <w:rPr>
        <w:noProof/>
      </w:rPr>
      <w:pict w14:anchorId="7A348C9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2210181" o:spid="_x0000_s1025" type="#_x0000_t136" style="position:absolute;left:0;text-align:left;margin-left:0;margin-top:0;width:625.75pt;height:73.6pt;rotation:315;z-index:-25165516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2D4185" w14:textId="77777777" w:rsidR="00F34746" w:rsidRDefault="00000000">
    <w:pPr>
      <w:pStyle w:val="Zhlav"/>
    </w:pPr>
    <w:r>
      <w:rPr>
        <w:noProof/>
      </w:rPr>
      <w:pict w14:anchorId="38D3A63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2210185" o:spid="_x0000_s1029" type="#_x0000_t136" style="position:absolute;left:0;text-align:left;margin-left:0;margin-top:0;width:625.75pt;height:73.6pt;rotation:315;z-index:-25164697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 xml:space="preserve">ČSN EN </w:t>
    </w:r>
    <w:r w:rsidR="00A55074">
      <w:t>13963 ed. 2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863ACB" w14:textId="77777777" w:rsidR="00F34746" w:rsidRDefault="00000000" w:rsidP="00A55074">
    <w:pPr>
      <w:pStyle w:val="Zhlav"/>
      <w:jc w:val="right"/>
    </w:pPr>
    <w:r>
      <w:rPr>
        <w:noProof/>
      </w:rPr>
      <w:pict w14:anchorId="2A9D342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2210186" o:spid="_x0000_s1030" type="#_x0000_t136" style="position:absolute;left:0;text-align:left;margin-left:0;margin-top:0;width:625.75pt;height:73.6pt;rotation:315;z-index:-25164492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A55074">
      <w:t>ČSN EN 13963 ed. 2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E26FDA" w14:textId="77777777" w:rsidR="001245C9" w:rsidRDefault="00000000">
    <w:pPr>
      <w:pStyle w:val="Zhlav"/>
    </w:pPr>
    <w:r>
      <w:rPr>
        <w:noProof/>
      </w:rPr>
      <w:pict w14:anchorId="6BE756C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2210184" o:spid="_x0000_s1028" type="#_x0000_t136" style="position:absolute;left:0;text-align:left;margin-left:0;margin-top:0;width:625.75pt;height:73.6pt;rotation:315;z-index:-25164902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592737697">
    <w:abstractNumId w:val="17"/>
  </w:num>
  <w:num w:numId="2" w16cid:durableId="325716735">
    <w:abstractNumId w:val="14"/>
  </w:num>
  <w:num w:numId="3" w16cid:durableId="1092315887">
    <w:abstractNumId w:val="15"/>
  </w:num>
  <w:num w:numId="4" w16cid:durableId="1104037994">
    <w:abstractNumId w:val="9"/>
  </w:num>
  <w:num w:numId="5" w16cid:durableId="1800760074">
    <w:abstractNumId w:val="10"/>
  </w:num>
  <w:num w:numId="6" w16cid:durableId="2077386773">
    <w:abstractNumId w:val="20"/>
    <w:lvlOverride w:ilvl="0">
      <w:startOverride w:val="1"/>
    </w:lvlOverride>
  </w:num>
  <w:num w:numId="7" w16cid:durableId="1477797658">
    <w:abstractNumId w:val="11"/>
  </w:num>
  <w:num w:numId="8" w16cid:durableId="1853296379">
    <w:abstractNumId w:val="16"/>
  </w:num>
  <w:num w:numId="9" w16cid:durableId="189924567">
    <w:abstractNumId w:val="10"/>
    <w:lvlOverride w:ilvl="0">
      <w:startOverride w:val="1"/>
    </w:lvlOverride>
  </w:num>
  <w:num w:numId="10" w16cid:durableId="1362853706">
    <w:abstractNumId w:val="20"/>
  </w:num>
  <w:num w:numId="11" w16cid:durableId="1145512250">
    <w:abstractNumId w:val="13"/>
  </w:num>
  <w:num w:numId="12" w16cid:durableId="32577242">
    <w:abstractNumId w:val="12"/>
  </w:num>
  <w:num w:numId="13" w16cid:durableId="1071271619">
    <w:abstractNumId w:val="0"/>
  </w:num>
  <w:num w:numId="14" w16cid:durableId="877207532">
    <w:abstractNumId w:val="1"/>
  </w:num>
  <w:num w:numId="15" w16cid:durableId="1247150972">
    <w:abstractNumId w:val="3"/>
  </w:num>
  <w:num w:numId="16" w16cid:durableId="305015649">
    <w:abstractNumId w:val="2"/>
  </w:num>
  <w:num w:numId="17" w16cid:durableId="1270235517">
    <w:abstractNumId w:val="8"/>
  </w:num>
  <w:num w:numId="18" w16cid:durableId="2092849570">
    <w:abstractNumId w:val="7"/>
  </w:num>
  <w:num w:numId="19" w16cid:durableId="1927571443">
    <w:abstractNumId w:val="6"/>
  </w:num>
  <w:num w:numId="20" w16cid:durableId="1002392837">
    <w:abstractNumId w:val="5"/>
  </w:num>
  <w:num w:numId="21" w16cid:durableId="990214381">
    <w:abstractNumId w:val="4"/>
  </w:num>
  <w:num w:numId="22" w16cid:durableId="363948797">
    <w:abstractNumId w:val="18"/>
  </w:num>
  <w:num w:numId="23" w16cid:durableId="2049642759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5074"/>
    <w:rsid w:val="00072F44"/>
    <w:rsid w:val="0007786B"/>
    <w:rsid w:val="000B0529"/>
    <w:rsid w:val="000D22A5"/>
    <w:rsid w:val="000D7198"/>
    <w:rsid w:val="000D7CC4"/>
    <w:rsid w:val="00103F06"/>
    <w:rsid w:val="00104C1B"/>
    <w:rsid w:val="00113159"/>
    <w:rsid w:val="001245C9"/>
    <w:rsid w:val="0013039D"/>
    <w:rsid w:val="0013058D"/>
    <w:rsid w:val="00135415"/>
    <w:rsid w:val="001567EF"/>
    <w:rsid w:val="001841FE"/>
    <w:rsid w:val="00194A2B"/>
    <w:rsid w:val="001B1B5E"/>
    <w:rsid w:val="001B3E67"/>
    <w:rsid w:val="001B63E7"/>
    <w:rsid w:val="001F6BBC"/>
    <w:rsid w:val="00210AAE"/>
    <w:rsid w:val="00230075"/>
    <w:rsid w:val="00231D91"/>
    <w:rsid w:val="00236AFC"/>
    <w:rsid w:val="00251DFB"/>
    <w:rsid w:val="0028489E"/>
    <w:rsid w:val="002B25EE"/>
    <w:rsid w:val="002D43DF"/>
    <w:rsid w:val="002F6A9A"/>
    <w:rsid w:val="00314F2D"/>
    <w:rsid w:val="00342659"/>
    <w:rsid w:val="00361E7B"/>
    <w:rsid w:val="0037125D"/>
    <w:rsid w:val="0038646B"/>
    <w:rsid w:val="003C701A"/>
    <w:rsid w:val="003E5200"/>
    <w:rsid w:val="004069CB"/>
    <w:rsid w:val="00412CB3"/>
    <w:rsid w:val="004159F3"/>
    <w:rsid w:val="00421B22"/>
    <w:rsid w:val="00445C34"/>
    <w:rsid w:val="004634EE"/>
    <w:rsid w:val="004B223B"/>
    <w:rsid w:val="004B4ECA"/>
    <w:rsid w:val="004C5D55"/>
    <w:rsid w:val="004D39AA"/>
    <w:rsid w:val="004F3648"/>
    <w:rsid w:val="00503D98"/>
    <w:rsid w:val="00534601"/>
    <w:rsid w:val="0055412A"/>
    <w:rsid w:val="00570C38"/>
    <w:rsid w:val="00576ED5"/>
    <w:rsid w:val="005E1156"/>
    <w:rsid w:val="005E3B21"/>
    <w:rsid w:val="005E6EAE"/>
    <w:rsid w:val="00631184"/>
    <w:rsid w:val="006925BB"/>
    <w:rsid w:val="006A3382"/>
    <w:rsid w:val="006B04C9"/>
    <w:rsid w:val="006D2485"/>
    <w:rsid w:val="00734D06"/>
    <w:rsid w:val="00781609"/>
    <w:rsid w:val="00782CE0"/>
    <w:rsid w:val="00790EC5"/>
    <w:rsid w:val="007E0F61"/>
    <w:rsid w:val="007E23F0"/>
    <w:rsid w:val="007F27A2"/>
    <w:rsid w:val="007F4A22"/>
    <w:rsid w:val="008072A3"/>
    <w:rsid w:val="00831B2F"/>
    <w:rsid w:val="008638F1"/>
    <w:rsid w:val="00872046"/>
    <w:rsid w:val="008A04E8"/>
    <w:rsid w:val="008A7D3C"/>
    <w:rsid w:val="008C03BC"/>
    <w:rsid w:val="008F4369"/>
    <w:rsid w:val="008F51B6"/>
    <w:rsid w:val="0090499A"/>
    <w:rsid w:val="00923E20"/>
    <w:rsid w:val="0093110D"/>
    <w:rsid w:val="00931FE4"/>
    <w:rsid w:val="0095314E"/>
    <w:rsid w:val="00970283"/>
    <w:rsid w:val="00985D80"/>
    <w:rsid w:val="009F2E2E"/>
    <w:rsid w:val="00A12852"/>
    <w:rsid w:val="00A3019F"/>
    <w:rsid w:val="00A55074"/>
    <w:rsid w:val="00A7392F"/>
    <w:rsid w:val="00A83EAB"/>
    <w:rsid w:val="00A848B2"/>
    <w:rsid w:val="00A90C34"/>
    <w:rsid w:val="00AB15EC"/>
    <w:rsid w:val="00B04A88"/>
    <w:rsid w:val="00BB7770"/>
    <w:rsid w:val="00BC1FDE"/>
    <w:rsid w:val="00BE7844"/>
    <w:rsid w:val="00C02CD7"/>
    <w:rsid w:val="00C2107C"/>
    <w:rsid w:val="00C43BC8"/>
    <w:rsid w:val="00C674D3"/>
    <w:rsid w:val="00C904AB"/>
    <w:rsid w:val="00CF715A"/>
    <w:rsid w:val="00D1290A"/>
    <w:rsid w:val="00D35BBC"/>
    <w:rsid w:val="00D53D67"/>
    <w:rsid w:val="00D54402"/>
    <w:rsid w:val="00D64213"/>
    <w:rsid w:val="00D85849"/>
    <w:rsid w:val="00DA1989"/>
    <w:rsid w:val="00DB0A86"/>
    <w:rsid w:val="00DC18E1"/>
    <w:rsid w:val="00DE2529"/>
    <w:rsid w:val="00DE412B"/>
    <w:rsid w:val="00E12D49"/>
    <w:rsid w:val="00E22981"/>
    <w:rsid w:val="00E54908"/>
    <w:rsid w:val="00E64DC6"/>
    <w:rsid w:val="00E74C26"/>
    <w:rsid w:val="00EB1FEE"/>
    <w:rsid w:val="00EB675D"/>
    <w:rsid w:val="00ED6C91"/>
    <w:rsid w:val="00F23E8F"/>
    <w:rsid w:val="00F31051"/>
    <w:rsid w:val="00F34746"/>
    <w:rsid w:val="00F415E7"/>
    <w:rsid w:val="00F50ACC"/>
    <w:rsid w:val="00F74691"/>
    <w:rsid w:val="00F77831"/>
    <w:rsid w:val="00F90EA4"/>
    <w:rsid w:val="00F95F63"/>
    <w:rsid w:val="00FD3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9D41733"/>
  <w15:chartTrackingRefBased/>
  <w15:docId w15:val="{5C3948D4-691E-432F-A256-2782E8AD0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A7392F"/>
  </w:style>
  <w:style w:type="paragraph" w:styleId="Nadpis1">
    <w:name w:val="heading 1"/>
    <w:basedOn w:val="Nadpiskapitoly"/>
    <w:next w:val="Textnormy"/>
    <w:link w:val="Nadpis1Char"/>
    <w:qFormat/>
    <w:rsid w:val="00A7392F"/>
    <w:pPr>
      <w:outlineLvl w:val="0"/>
    </w:pPr>
  </w:style>
  <w:style w:type="paragraph" w:styleId="Nadpis2">
    <w:name w:val="heading 2"/>
    <w:basedOn w:val="Nadpislnku"/>
    <w:next w:val="Textnormy"/>
    <w:link w:val="Nadpis2Char"/>
    <w:qFormat/>
    <w:rsid w:val="00A7392F"/>
    <w:pPr>
      <w:outlineLvl w:val="1"/>
    </w:pPr>
  </w:style>
  <w:style w:type="paragraph" w:styleId="Nadpis3">
    <w:name w:val="heading 3"/>
    <w:basedOn w:val="Nadpislnku"/>
    <w:next w:val="Textnormy"/>
    <w:qFormat/>
    <w:rsid w:val="00A7392F"/>
    <w:pPr>
      <w:outlineLvl w:val="2"/>
    </w:pPr>
  </w:style>
  <w:style w:type="paragraph" w:styleId="Nadpis4">
    <w:name w:val="heading 4"/>
    <w:basedOn w:val="Nadpislnku"/>
    <w:next w:val="Textnormy"/>
    <w:qFormat/>
    <w:rsid w:val="00A7392F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A7392F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A7392F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A7392F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A7392F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A7392F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A7392F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A7392F"/>
  </w:style>
  <w:style w:type="paragraph" w:customStyle="1" w:styleId="Nadpiskapitoly">
    <w:name w:val="Nadpis kapitoly"/>
    <w:basedOn w:val="Nadpislnku"/>
    <w:next w:val="Textnormy"/>
    <w:rsid w:val="00A7392F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A7392F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A7392F"/>
    <w:pPr>
      <w:spacing w:after="120"/>
      <w:jc w:val="both"/>
    </w:pPr>
  </w:style>
  <w:style w:type="paragraph" w:customStyle="1" w:styleId="1StrTrZn">
    <w:name w:val="1StrTrZn"/>
    <w:basedOn w:val="Textnormy"/>
    <w:rsid w:val="00A7392F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A7392F"/>
    <w:pPr>
      <w:spacing w:before="480"/>
    </w:pPr>
  </w:style>
  <w:style w:type="paragraph" w:customStyle="1" w:styleId="1StrNN-1-23">
    <w:name w:val="1StrNN-1-23"/>
    <w:basedOn w:val="Textnormy"/>
    <w:rsid w:val="00A7392F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A7392F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A7392F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A7392F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A7392F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A7392F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A7392F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A7392F"/>
    <w:pPr>
      <w:spacing w:before="0" w:after="120"/>
      <w:ind w:left="284" w:hanging="284"/>
    </w:pPr>
  </w:style>
  <w:style w:type="paragraph" w:styleId="Zhlav">
    <w:name w:val="header"/>
    <w:basedOn w:val="Textnormy"/>
    <w:rsid w:val="00A7392F"/>
    <w:pPr>
      <w:spacing w:after="360"/>
    </w:pPr>
    <w:rPr>
      <w:sz w:val="18"/>
    </w:rPr>
  </w:style>
  <w:style w:type="paragraph" w:styleId="Zpat">
    <w:name w:val="footer"/>
    <w:basedOn w:val="Textnormy"/>
    <w:rsid w:val="00A7392F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rsid w:val="00A7392F"/>
    <w:pPr>
      <w:spacing w:after="120"/>
    </w:pPr>
  </w:style>
  <w:style w:type="paragraph" w:styleId="Obsah2">
    <w:name w:val="toc 2"/>
    <w:basedOn w:val="Obsah1"/>
    <w:next w:val="Textnormy"/>
    <w:uiPriority w:val="39"/>
    <w:rsid w:val="00A7392F"/>
  </w:style>
  <w:style w:type="paragraph" w:styleId="Obsah1">
    <w:name w:val="toc 1"/>
    <w:basedOn w:val="Textnormy"/>
    <w:next w:val="Textnormy"/>
    <w:uiPriority w:val="39"/>
    <w:rsid w:val="00A7392F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A7392F"/>
    <w:pPr>
      <w:numPr>
        <w:numId w:val="7"/>
      </w:numPr>
    </w:pPr>
  </w:style>
  <w:style w:type="paragraph" w:styleId="Obsah3">
    <w:name w:val="toc 3"/>
    <w:basedOn w:val="Obsah1"/>
    <w:next w:val="Textnormy"/>
    <w:rsid w:val="00A7392F"/>
  </w:style>
  <w:style w:type="paragraph" w:styleId="Obsah4">
    <w:name w:val="toc 4"/>
    <w:basedOn w:val="Obsah1"/>
    <w:next w:val="Textnormy"/>
    <w:uiPriority w:val="39"/>
    <w:rsid w:val="00A7392F"/>
  </w:style>
  <w:style w:type="paragraph" w:styleId="Obsah6">
    <w:name w:val="toc 6"/>
    <w:basedOn w:val="Obsah1"/>
    <w:next w:val="Textnormy"/>
    <w:rsid w:val="00A7392F"/>
  </w:style>
  <w:style w:type="paragraph" w:styleId="Obsah7">
    <w:name w:val="toc 7"/>
    <w:basedOn w:val="Obsah1"/>
    <w:next w:val="Textnormy"/>
    <w:semiHidden/>
    <w:rsid w:val="00A7392F"/>
  </w:style>
  <w:style w:type="paragraph" w:styleId="Obsah8">
    <w:name w:val="toc 8"/>
    <w:basedOn w:val="Obsah1"/>
    <w:next w:val="Textnormy"/>
    <w:semiHidden/>
    <w:rsid w:val="00A7392F"/>
  </w:style>
  <w:style w:type="character" w:styleId="Znakapoznpodarou">
    <w:name w:val="footnote reference"/>
    <w:basedOn w:val="Standardnpsmoodstavce"/>
    <w:rsid w:val="00A7392F"/>
    <w:rPr>
      <w:vertAlign w:val="superscript"/>
    </w:rPr>
  </w:style>
  <w:style w:type="paragraph" w:customStyle="1" w:styleId="ABCseznamCZ">
    <w:name w:val="ABC seznamCZ"/>
    <w:basedOn w:val="Textnormy"/>
    <w:rsid w:val="00A7392F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A7392F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A7392F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A7392F"/>
    <w:pPr>
      <w:keepNext/>
      <w:spacing w:after="160"/>
      <w:jc w:val="center"/>
    </w:pPr>
  </w:style>
  <w:style w:type="paragraph" w:customStyle="1" w:styleId="Abecednseznam">
    <w:name w:val="Abecední seznam"/>
    <w:basedOn w:val="Textnormy"/>
    <w:rsid w:val="00A7392F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A7392F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A7392F"/>
    <w:pPr>
      <w:ind w:left="1600"/>
    </w:pPr>
  </w:style>
  <w:style w:type="paragraph" w:customStyle="1" w:styleId="1Str1Rad">
    <w:name w:val="1Str1Rad"/>
    <w:basedOn w:val="Textnormy"/>
    <w:rsid w:val="00A7392F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A7392F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A7392F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A7392F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A7392F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A7392F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A7392F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A7392F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A7392F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A7392F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A7392F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A7392F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A7392F"/>
    <w:pPr>
      <w:spacing w:before="300"/>
    </w:pPr>
  </w:style>
  <w:style w:type="paragraph" w:customStyle="1" w:styleId="1StrNN-X">
    <w:name w:val="1StrNN-X"/>
    <w:basedOn w:val="1StrNN-1-23"/>
    <w:rsid w:val="00A7392F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A7392F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A7392F"/>
    <w:pPr>
      <w:spacing w:before="800"/>
    </w:pPr>
  </w:style>
  <w:style w:type="paragraph" w:customStyle="1" w:styleId="1StrNN-2-4">
    <w:name w:val="1StrNN-2-4"/>
    <w:basedOn w:val="1StrNN-1-23"/>
    <w:rsid w:val="00A7392F"/>
  </w:style>
  <w:style w:type="paragraph" w:customStyle="1" w:styleId="1StrNN-3-4">
    <w:name w:val="1StrNN-3-4"/>
    <w:basedOn w:val="1StrNN-1-23"/>
    <w:rsid w:val="00A7392F"/>
    <w:pPr>
      <w:spacing w:before="460"/>
    </w:pPr>
  </w:style>
  <w:style w:type="paragraph" w:customStyle="1" w:styleId="1StrNN-4-4">
    <w:name w:val="1StrNN-4-4"/>
    <w:basedOn w:val="1StrNN-1-23"/>
    <w:rsid w:val="00A7392F"/>
    <w:pPr>
      <w:spacing w:before="340"/>
    </w:pPr>
  </w:style>
  <w:style w:type="paragraph" w:customStyle="1" w:styleId="ABCSeznamUS">
    <w:name w:val="ABC SeznamUS"/>
    <w:basedOn w:val="Textnormy"/>
    <w:rsid w:val="00A7392F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link w:val="TextnormyUSChar"/>
    <w:autoRedefine/>
    <w:rsid w:val="00A7392F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A7392F"/>
    <w:pPr>
      <w:jc w:val="left"/>
    </w:pPr>
  </w:style>
  <w:style w:type="paragraph" w:customStyle="1" w:styleId="1StrNN-4-3">
    <w:name w:val="1StrNN-4-3"/>
    <w:basedOn w:val="1StrNN-1-23"/>
    <w:rsid w:val="00A7392F"/>
    <w:pPr>
      <w:spacing w:before="160"/>
    </w:pPr>
  </w:style>
  <w:style w:type="paragraph" w:customStyle="1" w:styleId="Upozornn">
    <w:name w:val="Upozornění"/>
    <w:basedOn w:val="Normln"/>
    <w:rsid w:val="00A7392F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A7392F"/>
  </w:style>
  <w:style w:type="character" w:styleId="Hypertextovodkaz">
    <w:name w:val="Hyperlink"/>
    <w:unhideWhenUsed/>
    <w:rsid w:val="00A7392F"/>
    <w:rPr>
      <w:color w:val="0000FF"/>
      <w:u w:val="single"/>
    </w:rPr>
  </w:style>
  <w:style w:type="table" w:styleId="Mkatabulky">
    <w:name w:val="Table Grid"/>
    <w:basedOn w:val="Normlntabulka"/>
    <w:rsid w:val="00A739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A7392F"/>
    <w:rPr>
      <w:b/>
      <w:sz w:val="24"/>
    </w:rPr>
  </w:style>
  <w:style w:type="character" w:styleId="Odkaznakoment">
    <w:name w:val="annotation reference"/>
    <w:basedOn w:val="Standardnpsmoodstavce"/>
    <w:unhideWhenUsed/>
    <w:rsid w:val="00A7392F"/>
    <w:rPr>
      <w:sz w:val="16"/>
      <w:szCs w:val="16"/>
    </w:rPr>
  </w:style>
  <w:style w:type="paragraph" w:styleId="Textbubliny">
    <w:name w:val="Balloon Text"/>
    <w:basedOn w:val="Normln"/>
    <w:link w:val="TextbublinyChar"/>
    <w:rsid w:val="00A7392F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CF715A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A7392F"/>
  </w:style>
  <w:style w:type="character" w:customStyle="1" w:styleId="TextkomenteChar">
    <w:name w:val="Text komentáře Char"/>
    <w:basedOn w:val="Standardnpsmoodstavce"/>
    <w:link w:val="Textkomente"/>
    <w:rsid w:val="00A7392F"/>
  </w:style>
  <w:style w:type="character" w:customStyle="1" w:styleId="TextnormyCharChar">
    <w:name w:val="Text normy Char Char"/>
    <w:semiHidden/>
    <w:rsid w:val="00A7392F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rsid w:val="00A7392F"/>
  </w:style>
  <w:style w:type="paragraph" w:customStyle="1" w:styleId="NadpisObr">
    <w:name w:val="NadpisObr"/>
    <w:basedOn w:val="Nadpis4"/>
    <w:next w:val="Textnormy"/>
    <w:qFormat/>
    <w:rsid w:val="00A7392F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A7392F"/>
    <w:pPr>
      <w:jc w:val="center"/>
    </w:pPr>
  </w:style>
  <w:style w:type="paragraph" w:customStyle="1" w:styleId="NadpisTabObr">
    <w:name w:val="NadpisTabObr"/>
    <w:basedOn w:val="Nadpislnku"/>
    <w:next w:val="Textnormy"/>
    <w:rsid w:val="00CF715A"/>
    <w:pPr>
      <w:keepNext w:val="0"/>
      <w:jc w:val="center"/>
    </w:pPr>
  </w:style>
  <w:style w:type="character" w:customStyle="1" w:styleId="Nadpis2Char">
    <w:name w:val="Nadpis 2 Char"/>
    <w:link w:val="Nadpis2"/>
    <w:rsid w:val="00A55074"/>
    <w:rPr>
      <w:b/>
    </w:rPr>
  </w:style>
  <w:style w:type="character" w:customStyle="1" w:styleId="TextnormyUSChar">
    <w:name w:val="Text normy US Char"/>
    <w:link w:val="TextnormyUS"/>
    <w:rsid w:val="00A55074"/>
    <w:rPr>
      <w:noProof/>
    </w:rPr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A7392F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A7392F"/>
    <w:rPr>
      <w:b/>
      <w:bCs/>
    </w:rPr>
  </w:style>
  <w:style w:type="character" w:customStyle="1" w:styleId="NadpislnkuChar">
    <w:name w:val="Nadpis článku Char"/>
    <w:link w:val="Nadpislnku"/>
    <w:rsid w:val="00A7392F"/>
    <w:rPr>
      <w:b/>
    </w:rPr>
  </w:style>
  <w:style w:type="character" w:styleId="Sledovanodkaz">
    <w:name w:val="FollowedHyperlink"/>
    <w:basedOn w:val="Standardnpsmoodstavce"/>
    <w:semiHidden/>
    <w:unhideWhenUsed/>
    <w:rsid w:val="00A7392F"/>
    <w:rPr>
      <w:color w:val="954F72" w:themeColor="followedHyperlink"/>
      <w:u w:val="single"/>
    </w:rPr>
  </w:style>
  <w:style w:type="character" w:customStyle="1" w:styleId="cf01">
    <w:name w:val="cf01"/>
    <w:basedOn w:val="Standardnpsmoodstavce"/>
    <w:rsid w:val="00A7392F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agenturacas.gov.cz/" TargetMode="External"/><Relationship Id="rId18" Type="http://schemas.openxmlformats.org/officeDocument/2006/relationships/header" Target="header5.xml"/><Relationship Id="rId3" Type="http://schemas.openxmlformats.org/officeDocument/2006/relationships/settings" Target="settings.xml"/><Relationship Id="rId21" Type="http://schemas.openxmlformats.org/officeDocument/2006/relationships/header" Target="header6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4.xml"/><Relationship Id="rId2" Type="http://schemas.openxmlformats.org/officeDocument/2006/relationships/styles" Target="styles.xml"/><Relationship Id="rId16" Type="http://schemas.openxmlformats.org/officeDocument/2006/relationships/hyperlink" Target="http://www.manufacturers_internet_address.com" TargetMode="External"/><Relationship Id="rId20" Type="http://schemas.openxmlformats.org/officeDocument/2006/relationships/footer" Target="footer5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2.emf"/><Relationship Id="rId23" Type="http://schemas.openxmlformats.org/officeDocument/2006/relationships/theme" Target="theme/theme1.xml"/><Relationship Id="rId10" Type="http://schemas.openxmlformats.org/officeDocument/2006/relationships/footer" Target="footer2.xml"/><Relationship Id="rId19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eshop.agentura-cas.cz/" TargetMode="External"/><Relationship Id="rId22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41</TotalTime>
  <Pages>9</Pages>
  <Words>1864</Words>
  <Characters>11002</Characters>
  <Application>Microsoft Office Word</Application>
  <DocSecurity>0</DocSecurity>
  <Lines>91</Lines>
  <Paragraphs>25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Nadpisy</vt:lpstr>
      </vt:variant>
      <vt:variant>
        <vt:i4>10</vt:i4>
      </vt:variant>
    </vt:vector>
  </HeadingPairs>
  <TitlesOfParts>
    <vt:vector size="11" baseType="lpstr">
      <vt:lpstr>ČESKÁ TECHNICKÁ NORMA</vt:lpstr>
      <vt:lpstr>Evropská předmluva</vt:lpstr>
      <vt:lpstr>1 Předmět normy</vt:lpstr>
      <vt:lpstr>2 Citované dokumenty</vt:lpstr>
      <vt:lpstr>3 Termíny, definice, značky, zkratky a třídění</vt:lpstr>
      <vt:lpstr>    3.1 Termíny a definice výrobku</vt:lpstr>
      <vt:lpstr>    3.2 Značky a zkratky</vt:lpstr>
      <vt:lpstr>6 Posuzování a ověřování stálosti vlastností – AVCP</vt:lpstr>
      <vt:lpstr>Příloha ZA (informativní)</vt:lpstr>
      <vt:lpstr>Ustanovení této evropské normy, která se týkají ustanovení nařízení EU o stavebn</vt:lpstr>
      <vt:lpstr>Bibliografie</vt:lpstr>
    </vt:vector>
  </TitlesOfParts>
  <Company>ÚNMZ</Company>
  <LinksUpToDate>false</LinksUpToDate>
  <CharactersWithSpaces>12841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10</cp:revision>
  <cp:lastPrinted>2020-10-29T07:20:00Z</cp:lastPrinted>
  <dcterms:created xsi:type="dcterms:W3CDTF">2024-01-08T05:55:00Z</dcterms:created>
  <dcterms:modified xsi:type="dcterms:W3CDTF">2025-02-04T07:53:00Z</dcterms:modified>
</cp:coreProperties>
</file>