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86495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2FBF61D" wp14:editId="671D7ED7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57537F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00978977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320B7D" w:rsidRPr="00CA77DE">
        <w:rPr>
          <w:sz w:val="16"/>
        </w:rPr>
        <w:t>83.180</w:t>
      </w:r>
      <w:r>
        <w:tab/>
      </w:r>
      <w:r>
        <w:tab/>
      </w:r>
      <w:r>
        <w:rPr>
          <w:b/>
        </w:rPr>
        <w:t xml:space="preserve">Měsíc </w:t>
      </w:r>
      <w:r w:rsidR="00320B7D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24DC1F48" w14:textId="77777777">
        <w:trPr>
          <w:cantSplit/>
          <w:trHeight w:val="1701"/>
        </w:trPr>
        <w:tc>
          <w:tcPr>
            <w:tcW w:w="7371" w:type="dxa"/>
          </w:tcPr>
          <w:p w14:paraId="50814BD5" w14:textId="77777777" w:rsidR="00A83EAB" w:rsidRDefault="00320B7D" w:rsidP="00320B7D">
            <w:pPr>
              <w:pStyle w:val="1StrNN-X"/>
            </w:pPr>
            <w:r w:rsidRPr="00CA77DE">
              <w:t>Lepidla pro nosné dřevěné konstrukce –</w:t>
            </w:r>
            <w:r w:rsidRPr="00CA77DE">
              <w:br/>
              <w:t>Metody zkoušení –</w:t>
            </w:r>
            <w:r w:rsidRPr="00CA77DE">
              <w:br/>
              <w:t>Část 3: Stanovení vlivu poškození dřevěných vláken kyselinami při střídání teploty a vlhkosti na příčnou pevnost v tahu</w:t>
            </w:r>
          </w:p>
        </w:tc>
        <w:tc>
          <w:tcPr>
            <w:tcW w:w="2552" w:type="dxa"/>
          </w:tcPr>
          <w:p w14:paraId="0B470DAA" w14:textId="77777777" w:rsidR="00A83EAB" w:rsidRDefault="00320B7D">
            <w:pPr>
              <w:pStyle w:val="1StrCN"/>
              <w:rPr>
                <w:b w:val="0"/>
                <w:sz w:val="28"/>
              </w:rPr>
            </w:pPr>
            <w:r w:rsidRPr="00CA77DE">
              <w:t>ČSN</w:t>
            </w:r>
            <w:r w:rsidRPr="00CA77DE">
              <w:br/>
              <w:t>EN 302-3</w:t>
            </w:r>
            <w:r w:rsidRPr="00CA77DE">
              <w:br/>
              <w:t>ZMĚNA A1</w:t>
            </w:r>
            <w:r w:rsidR="00A83EAB">
              <w:br/>
            </w:r>
          </w:p>
          <w:p w14:paraId="3FE3E52F" w14:textId="77777777" w:rsidR="00A83EAB" w:rsidRDefault="00320B7D">
            <w:pPr>
              <w:pStyle w:val="1StrTrZn"/>
            </w:pPr>
            <w:r w:rsidRPr="00CA77DE">
              <w:t>66 8531</w:t>
            </w:r>
          </w:p>
        </w:tc>
      </w:tr>
    </w:tbl>
    <w:p w14:paraId="2BA8D384" w14:textId="77777777" w:rsidR="00A83EAB" w:rsidRDefault="00A83EAB">
      <w:pPr>
        <w:pStyle w:val="Shodnost"/>
      </w:pPr>
    </w:p>
    <w:p w14:paraId="06C737F0" w14:textId="77777777" w:rsidR="00FD29E2" w:rsidRPr="00CA77DE" w:rsidRDefault="00FD29E2" w:rsidP="00FD29E2">
      <w:pPr>
        <w:pStyle w:val="Cizojazynnzev"/>
      </w:pPr>
      <w:r w:rsidRPr="00CA77DE">
        <w:t>Amendment</w:t>
      </w:r>
    </w:p>
    <w:p w14:paraId="23B9A285" w14:textId="77777777" w:rsidR="00FD29E2" w:rsidRPr="00CA77DE" w:rsidRDefault="00FD29E2" w:rsidP="00FD29E2">
      <w:pPr>
        <w:pStyle w:val="Cizojazynnzev"/>
        <w:rPr>
          <w:lang w:val="fr-FR"/>
        </w:rPr>
      </w:pPr>
      <w:r w:rsidRPr="00CA77DE">
        <w:rPr>
          <w:lang w:val="fr-FR"/>
        </w:rPr>
        <w:t>Amendement</w:t>
      </w:r>
    </w:p>
    <w:p w14:paraId="239C81DD" w14:textId="77777777" w:rsidR="00FD29E2" w:rsidRPr="00CA77DE" w:rsidRDefault="00FD29E2" w:rsidP="00FD29E2">
      <w:pPr>
        <w:pStyle w:val="Cizojazynnzev"/>
        <w:spacing w:after="840"/>
        <w:rPr>
          <w:lang w:val="de-DE"/>
        </w:rPr>
      </w:pPr>
      <w:r w:rsidRPr="00CA77DE">
        <w:rPr>
          <w:rFonts w:cs="Arial"/>
          <w:lang w:val="de-DE"/>
        </w:rPr>
        <w:t>Ä</w:t>
      </w:r>
      <w:r w:rsidRPr="00CA77DE">
        <w:rPr>
          <w:lang w:val="de-DE"/>
        </w:rPr>
        <w:t>nderung</w:t>
      </w:r>
    </w:p>
    <w:p w14:paraId="462EC1F1" w14:textId="77777777" w:rsidR="00FD29E2" w:rsidRPr="00CA77DE" w:rsidRDefault="00FD29E2" w:rsidP="00FD29E2">
      <w:pPr>
        <w:pStyle w:val="Textnormy"/>
      </w:pPr>
      <w:r w:rsidRPr="00CA77DE">
        <w:t>Tato změna ČSN</w:t>
      </w:r>
      <w:r>
        <w:t> </w:t>
      </w:r>
      <w:r w:rsidRPr="00CA77DE">
        <w:t>EN</w:t>
      </w:r>
      <w:r>
        <w:t> </w:t>
      </w:r>
      <w:r w:rsidRPr="00CA77DE">
        <w:t>302-3:2004 je českou verzí změny EN</w:t>
      </w:r>
      <w:r>
        <w:t> </w:t>
      </w:r>
      <w:r w:rsidRPr="00CA77DE">
        <w:t>302-3:2004/A1:20</w:t>
      </w:r>
      <w:r>
        <w:t>10</w:t>
      </w:r>
      <w:r w:rsidRPr="00CA77DE">
        <w:t xml:space="preserve">. Překlad byl zajištěn </w:t>
      </w:r>
      <w:r w:rsidRPr="00F26445">
        <w:t>Českou agenturou pro standardizaci</w:t>
      </w:r>
      <w:r w:rsidRPr="00CA77DE">
        <w:t>. Má stejný status jako oficiální verze.</w:t>
      </w:r>
    </w:p>
    <w:p w14:paraId="0AD31F68" w14:textId="77777777" w:rsidR="00FD29E2" w:rsidRPr="00CA77DE" w:rsidRDefault="00FD29E2" w:rsidP="00FD29E2">
      <w:pPr>
        <w:pStyle w:val="Textnormy"/>
        <w:rPr>
          <w:lang w:val="en-GB"/>
        </w:rPr>
      </w:pPr>
      <w:r w:rsidRPr="00CA77DE">
        <w:rPr>
          <w:spacing w:val="-2"/>
          <w:lang w:val="en-GB"/>
        </w:rPr>
        <w:t>This Amendment to ČSN</w:t>
      </w:r>
      <w:r>
        <w:rPr>
          <w:spacing w:val="-2"/>
          <w:lang w:val="en-GB"/>
        </w:rPr>
        <w:t> </w:t>
      </w:r>
      <w:r w:rsidRPr="00CA77DE">
        <w:rPr>
          <w:spacing w:val="-2"/>
          <w:lang w:val="en-GB"/>
        </w:rPr>
        <w:t>EN</w:t>
      </w:r>
      <w:r>
        <w:rPr>
          <w:spacing w:val="-2"/>
          <w:lang w:val="en-GB"/>
        </w:rPr>
        <w:t> </w:t>
      </w:r>
      <w:r w:rsidRPr="00CA77DE">
        <w:rPr>
          <w:spacing w:val="-2"/>
          <w:lang w:val="en-GB"/>
        </w:rPr>
        <w:t>302-3:2004 is the Czech version of the Amendment EN</w:t>
      </w:r>
      <w:r>
        <w:rPr>
          <w:spacing w:val="-2"/>
          <w:lang w:val="en-GB"/>
        </w:rPr>
        <w:t> </w:t>
      </w:r>
      <w:r w:rsidRPr="00CA77DE">
        <w:rPr>
          <w:spacing w:val="-2"/>
          <w:lang w:val="en-GB"/>
        </w:rPr>
        <w:t>302-3:2004/A1:20</w:t>
      </w:r>
      <w:r>
        <w:rPr>
          <w:spacing w:val="-2"/>
          <w:lang w:val="en-GB"/>
        </w:rPr>
        <w:t>10</w:t>
      </w:r>
      <w:r w:rsidRPr="00CA77DE">
        <w:rPr>
          <w:spacing w:val="-2"/>
          <w:lang w:val="en-GB"/>
        </w:rPr>
        <w:t xml:space="preserve">. </w:t>
      </w:r>
      <w:r w:rsidRPr="00CA77DE">
        <w:t xml:space="preserve">It was </w:t>
      </w:r>
      <w:r w:rsidRPr="00173C3A">
        <w:rPr>
          <w:spacing w:val="-2"/>
        </w:rPr>
        <w:t xml:space="preserve">translated by the </w:t>
      </w:r>
      <w:r w:rsidR="00BA55D2" w:rsidRPr="00F26445">
        <w:t>Czech Standardization</w:t>
      </w:r>
      <w:r w:rsidR="00BA55D2" w:rsidRPr="00683C92">
        <w:t xml:space="preserve"> </w:t>
      </w:r>
      <w:r w:rsidR="00BA55D2" w:rsidRPr="00F26445">
        <w:t>Agency</w:t>
      </w:r>
      <w:r w:rsidRPr="00173C3A">
        <w:rPr>
          <w:spacing w:val="-2"/>
        </w:rPr>
        <w:t>.</w:t>
      </w:r>
      <w:r w:rsidRPr="00173C3A">
        <w:rPr>
          <w:spacing w:val="-2"/>
          <w:lang w:val="en-GB"/>
        </w:rPr>
        <w:t xml:space="preserve"> It has the same status as the official version.</w:t>
      </w:r>
    </w:p>
    <w:p w14:paraId="60689EFD" w14:textId="77777777" w:rsidR="00FD29E2" w:rsidRDefault="00FD29E2" w:rsidP="00FD29E2">
      <w:pPr>
        <w:pStyle w:val="Nadpiskapitoly"/>
      </w:pPr>
      <w:r w:rsidRPr="00CA77DE">
        <w:t>Národní předmluva</w:t>
      </w:r>
    </w:p>
    <w:p w14:paraId="28A83152" w14:textId="77777777" w:rsidR="00FD29E2" w:rsidRPr="00107BB3" w:rsidRDefault="00FD29E2" w:rsidP="00FD29E2">
      <w:pPr>
        <w:pStyle w:val="Nadpislnku"/>
      </w:pPr>
      <w:r w:rsidRPr="00107BB3">
        <w:t>Upozornění na národní poznámky</w:t>
      </w:r>
    </w:p>
    <w:p w14:paraId="5778CF5C" w14:textId="77777777" w:rsidR="00FD29E2" w:rsidRDefault="00FD29E2" w:rsidP="00FD29E2">
      <w:pPr>
        <w:pStyle w:val="Textnormy"/>
        <w:rPr>
          <w:rFonts w:cs="Arial"/>
          <w:bCs/>
        </w:rPr>
      </w:pPr>
      <w:r w:rsidRPr="00107BB3">
        <w:rPr>
          <w:rFonts w:cs="Arial"/>
          <w:bCs/>
        </w:rPr>
        <w:t xml:space="preserve">Do </w:t>
      </w:r>
      <w:r>
        <w:rPr>
          <w:rFonts w:cs="Arial"/>
          <w:bCs/>
        </w:rPr>
        <w:t>této změny</w:t>
      </w:r>
      <w:r w:rsidRPr="00107BB3">
        <w:rPr>
          <w:rFonts w:cs="Arial"/>
          <w:bCs/>
        </w:rPr>
        <w:t xml:space="preserve"> byl</w:t>
      </w:r>
      <w:r>
        <w:rPr>
          <w:rFonts w:cs="Arial"/>
          <w:bCs/>
        </w:rPr>
        <w:t>a</w:t>
      </w:r>
      <w:r w:rsidRPr="00107BB3">
        <w:rPr>
          <w:rFonts w:cs="Arial"/>
          <w:bCs/>
        </w:rPr>
        <w:t xml:space="preserve"> k</w:t>
      </w:r>
      <w:r>
        <w:rPr>
          <w:rFonts w:cs="Arial"/>
          <w:bCs/>
        </w:rPr>
        <w:t>e kapitole 1 doplněna národní poznámka</w:t>
      </w:r>
      <w:r w:rsidRPr="00107BB3">
        <w:rPr>
          <w:rFonts w:cs="Arial"/>
          <w:bCs/>
        </w:rPr>
        <w:t>.</w:t>
      </w:r>
    </w:p>
    <w:p w14:paraId="68F30C73" w14:textId="77777777" w:rsidR="003D6509" w:rsidRDefault="003D6509" w:rsidP="003D6509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0920F94D" w14:textId="540B142D" w:rsidR="00572AB4" w:rsidRPr="00572AB4" w:rsidRDefault="00572AB4" w:rsidP="00572AB4">
      <w:pPr>
        <w:pStyle w:val="Textnormy"/>
      </w:pPr>
      <w:r w:rsidRPr="00725D19">
        <w:t xml:space="preserve">Zpracovatel odborného překladu: </w:t>
      </w:r>
      <w:r w:rsidR="003C3FA4" w:rsidRPr="00725D19">
        <w:t>Institut pro testování a certifikaci, a. s., IČO 47910381</w:t>
      </w:r>
    </w:p>
    <w:p w14:paraId="3C1C0FCE" w14:textId="2C5022B8" w:rsidR="003D6509" w:rsidRDefault="003D6509" w:rsidP="003D6509">
      <w:pPr>
        <w:pStyle w:val="Textnormy"/>
        <w:rPr>
          <w:bCs/>
          <w:i/>
          <w:iCs/>
        </w:rPr>
      </w:pPr>
      <w:r>
        <w:t xml:space="preserve">Technická normalizační komise: </w:t>
      </w:r>
      <w:r w:rsidRPr="001F7B4B">
        <w:t xml:space="preserve">TNK </w:t>
      </w:r>
      <w:r>
        <w:t>52</w:t>
      </w:r>
      <w:r w:rsidRPr="001F7B4B">
        <w:t xml:space="preserve"> </w:t>
      </w:r>
      <w:r>
        <w:t>Plasty</w:t>
      </w:r>
    </w:p>
    <w:p w14:paraId="1B9728FB" w14:textId="6B9D6647" w:rsidR="003D6509" w:rsidRPr="00453580" w:rsidRDefault="003D6509" w:rsidP="003D6509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130B44">
          <w:rPr>
            <w:rStyle w:val="Hypertextovodkaz"/>
          </w:rPr>
          <w:t>Česká agentura pro standardizaci, státní příspěvková organizace</w:t>
        </w:r>
      </w:hyperlink>
    </w:p>
    <w:p w14:paraId="110BE22E" w14:textId="4019E62F" w:rsidR="003D6509" w:rsidRDefault="003D6509" w:rsidP="003D6509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130B44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FF0ACA5" w14:textId="77777777" w:rsidR="003D6509" w:rsidRDefault="003D6509" w:rsidP="003D6509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14F4410" w14:textId="77777777" w:rsidR="003D6509" w:rsidRPr="00BC2C47" w:rsidRDefault="003D6509" w:rsidP="00FD29E2">
      <w:pPr>
        <w:pStyle w:val="Textnormy"/>
      </w:pPr>
    </w:p>
    <w:p w14:paraId="51CD1363" w14:textId="77777777" w:rsidR="00A83EAB" w:rsidRDefault="00A83EAB">
      <w:pPr>
        <w:pStyle w:val="Textnormy"/>
        <w:tabs>
          <w:tab w:val="right" w:pos="9923"/>
        </w:tabs>
      </w:pPr>
    </w:p>
    <w:p w14:paraId="436DAFC1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4CF7B05F" w14:textId="77777777" w:rsidR="00690B27" w:rsidRDefault="00690B27" w:rsidP="00690B27">
      <w:pPr>
        <w:pStyle w:val="Textnormy"/>
      </w:pPr>
    </w:p>
    <w:p w14:paraId="61FC6371" w14:textId="2C156CB2" w:rsidR="00FD29E2" w:rsidRPr="00CA77DE" w:rsidRDefault="00FD29E2" w:rsidP="00690B27">
      <w:pPr>
        <w:pStyle w:val="EvropNorma"/>
        <w:tabs>
          <w:tab w:val="clear" w:pos="8505"/>
          <w:tab w:val="left" w:pos="7797"/>
        </w:tabs>
      </w:pPr>
      <w:r w:rsidRPr="00CA77DE">
        <w:lastRenderedPageBreak/>
        <w:t>EVROPSKÁ NORMA</w:t>
      </w:r>
      <w:r w:rsidRPr="00CA77DE">
        <w:tab/>
        <w:t>EN 302-3:2004/A1</w:t>
      </w:r>
      <w:r w:rsidRPr="00CA77DE">
        <w:br/>
        <w:t>EUROPEAN STANDARD</w:t>
      </w:r>
      <w:r w:rsidRPr="00CA77DE">
        <w:br/>
        <w:t>NORME EUROPÉENNE</w:t>
      </w:r>
      <w:r w:rsidRPr="00CA77DE">
        <w:br/>
        <w:t>EUROPÄISCHE NORM</w:t>
      </w:r>
      <w:r w:rsidRPr="00CA77DE">
        <w:tab/>
      </w:r>
      <w:r w:rsidRPr="00CA77DE">
        <w:rPr>
          <w:b w:val="0"/>
          <w:sz w:val="20"/>
        </w:rPr>
        <w:t>Listopad 20</w:t>
      </w:r>
      <w:r>
        <w:rPr>
          <w:b w:val="0"/>
          <w:sz w:val="20"/>
        </w:rPr>
        <w:t>10</w:t>
      </w:r>
    </w:p>
    <w:p w14:paraId="2A7FC835" w14:textId="77777777" w:rsidR="00FD29E2" w:rsidRPr="00CA77DE" w:rsidRDefault="00FD29E2" w:rsidP="00FD29E2">
      <w:pPr>
        <w:pStyle w:val="ICS"/>
      </w:pPr>
      <w:r w:rsidRPr="00CA77DE">
        <w:t>ICS 83.180</w:t>
      </w:r>
      <w:r>
        <w:tab/>
      </w:r>
    </w:p>
    <w:p w14:paraId="03307126" w14:textId="77777777" w:rsidR="00FD29E2" w:rsidRPr="00CA77DE" w:rsidRDefault="00FD29E2" w:rsidP="00FD29E2">
      <w:pPr>
        <w:pStyle w:val="NzNorCZ"/>
      </w:pPr>
      <w:r w:rsidRPr="00CA77DE">
        <w:t>Lepidla pro nosné dřevěné konstrukce – Metody zkoušení –</w:t>
      </w:r>
      <w:r w:rsidRPr="00CA77DE">
        <w:br/>
        <w:t>Část 3: Stanovení vlivu poškození dřevěných vláken kyselinami při střídání teploty a vlhkosti na příčnou pevnost v tahu</w:t>
      </w:r>
    </w:p>
    <w:p w14:paraId="747174C0" w14:textId="77777777" w:rsidR="00FD29E2" w:rsidRPr="00CA77DE" w:rsidRDefault="00FD29E2" w:rsidP="00FD29E2">
      <w:pPr>
        <w:pStyle w:val="NzNorUS"/>
      </w:pPr>
      <w:r w:rsidRPr="00CA77DE">
        <w:t>Adhesives for load-bearing timber structures – Test methods –</w:t>
      </w:r>
      <w:r w:rsidRPr="00CA77DE">
        <w:br/>
        <w:t>Part 3: Determination of the effect of acid damage to wood fibres</w:t>
      </w:r>
      <w:r w:rsidRPr="00CA77DE">
        <w:br/>
        <w:t>by temperature and humidity cycling on the transverse tensile strenght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FD29E2" w:rsidRPr="00CA77DE" w14:paraId="3F4D85FF" w14:textId="77777777" w:rsidTr="00202FD8">
        <w:trPr>
          <w:jc w:val="center"/>
        </w:trPr>
        <w:tc>
          <w:tcPr>
            <w:tcW w:w="4961" w:type="dxa"/>
          </w:tcPr>
          <w:p w14:paraId="3F98E190" w14:textId="77777777" w:rsidR="00FD29E2" w:rsidRPr="00CA77DE" w:rsidRDefault="00FD29E2" w:rsidP="00202FD8">
            <w:pPr>
              <w:pStyle w:val="NzNorFraGer"/>
              <w:ind w:right="140"/>
            </w:pPr>
            <w:r w:rsidRPr="00CA77DE">
              <w:rPr>
                <w:lang w:val="fr-FR"/>
              </w:rPr>
              <w:t xml:space="preserve">Adhésifs pour atructures portantes en bois – Méthodes </w:t>
            </w:r>
            <w:r>
              <w:rPr>
                <w:rFonts w:cs="Arial"/>
                <w:lang w:val="fr-FR"/>
              </w:rPr>
              <w:t>d’</w:t>
            </w:r>
            <w:r w:rsidRPr="00CA77DE">
              <w:rPr>
                <w:lang w:val="fr-FR"/>
              </w:rPr>
              <w:t>essai –</w:t>
            </w:r>
            <w:r w:rsidRPr="00CA77DE">
              <w:rPr>
                <w:lang w:val="fr-FR"/>
              </w:rPr>
              <w:br/>
              <w:t xml:space="preserve">Partie 3: Détermination de </w:t>
            </w:r>
            <w:r>
              <w:rPr>
                <w:rFonts w:cs="Arial"/>
                <w:lang w:val="fr-FR"/>
              </w:rPr>
              <w:t>l’</w:t>
            </w:r>
            <w:r w:rsidRPr="00CA77DE">
              <w:rPr>
                <w:lang w:val="fr-FR"/>
              </w:rPr>
              <w:t xml:space="preserve">influence de </w:t>
            </w:r>
            <w:r>
              <w:rPr>
                <w:rFonts w:cs="Arial"/>
                <w:lang w:val="fr-FR"/>
              </w:rPr>
              <w:t>l’</w:t>
            </w:r>
            <w:r w:rsidRPr="00CA77DE">
              <w:rPr>
                <w:lang w:val="fr-FR"/>
              </w:rPr>
              <w:t xml:space="preserve">attaque </w:t>
            </w:r>
            <w:r>
              <w:rPr>
                <w:rFonts w:cs="Arial"/>
                <w:lang w:val="fr-FR"/>
              </w:rPr>
              <w:t>d’</w:t>
            </w:r>
            <w:r w:rsidRPr="00CA77DE">
              <w:rPr>
                <w:lang w:val="fr-FR"/>
              </w:rPr>
              <w:t xml:space="preserve">acide des fibres de bois, résultant de traitements cycliques de température et </w:t>
            </w:r>
            <w:r>
              <w:rPr>
                <w:rFonts w:cs="Arial"/>
                <w:lang w:val="fr-FR"/>
              </w:rPr>
              <w:t>d’</w:t>
            </w:r>
            <w:r w:rsidRPr="00CA77DE">
              <w:rPr>
                <w:lang w:val="fr-FR"/>
              </w:rPr>
              <w:t>humidité</w:t>
            </w:r>
            <w:r w:rsidRPr="00CA77DE">
              <w:rPr>
                <w:lang w:val="fr-FR"/>
              </w:rPr>
              <w:br/>
              <w:t xml:space="preserve">sur la résistance </w:t>
            </w:r>
            <w:r w:rsidRPr="00CA77DE">
              <w:rPr>
                <w:rFonts w:cs="Arial"/>
                <w:lang w:val="fr-FR"/>
              </w:rPr>
              <w:t>à</w:t>
            </w:r>
            <w:r w:rsidRPr="00CA77DE">
              <w:rPr>
                <w:lang w:val="fr-FR"/>
              </w:rPr>
              <w:t> la traction transversale</w:t>
            </w:r>
          </w:p>
        </w:tc>
        <w:tc>
          <w:tcPr>
            <w:tcW w:w="4961" w:type="dxa"/>
          </w:tcPr>
          <w:p w14:paraId="67122CCC" w14:textId="77777777" w:rsidR="00FD29E2" w:rsidRPr="00CA77DE" w:rsidRDefault="00FD29E2" w:rsidP="00202FD8">
            <w:pPr>
              <w:pStyle w:val="NzNorFraGer"/>
            </w:pPr>
            <w:r w:rsidRPr="00CA77DE">
              <w:rPr>
                <w:lang w:val="de-DE"/>
              </w:rPr>
              <w:t>Klebstoffe f</w:t>
            </w:r>
            <w:r w:rsidRPr="00CA77DE">
              <w:rPr>
                <w:rFonts w:cs="Arial"/>
                <w:lang w:val="de-DE"/>
              </w:rPr>
              <w:t>ü</w:t>
            </w:r>
            <w:r w:rsidRPr="00CA77DE">
              <w:rPr>
                <w:lang w:val="de-DE"/>
              </w:rPr>
              <w:t>r tragende Holzbauteile – Pr</w:t>
            </w:r>
            <w:r w:rsidRPr="00CA77DE">
              <w:rPr>
                <w:rFonts w:cs="Arial"/>
                <w:lang w:val="de-DE"/>
              </w:rPr>
              <w:t>ü</w:t>
            </w:r>
            <w:r w:rsidRPr="00CA77DE">
              <w:rPr>
                <w:lang w:val="de-DE"/>
              </w:rPr>
              <w:t>fverfahren –</w:t>
            </w:r>
            <w:r w:rsidRPr="00CA77DE">
              <w:rPr>
                <w:lang w:val="de-DE"/>
              </w:rPr>
              <w:br/>
              <w:t>Teil 3: Bestimmung des Einflusses von Säureschädigung der Holzfasern durch Temperatur</w:t>
            </w:r>
            <w:r>
              <w:rPr>
                <w:lang w:val="de-DE"/>
              </w:rPr>
              <w:t>-</w:t>
            </w:r>
            <w:r w:rsidRPr="00CA77DE">
              <w:rPr>
                <w:lang w:val="de-DE"/>
              </w:rPr>
              <w:t> und Feuchtezyklen</w:t>
            </w:r>
            <w:r w:rsidRPr="00CA77DE">
              <w:rPr>
                <w:lang w:val="de-DE"/>
              </w:rPr>
              <w:br/>
              <w:t>auf die Querzugfestigkeit</w:t>
            </w:r>
          </w:p>
        </w:tc>
      </w:tr>
    </w:tbl>
    <w:p w14:paraId="1C1A5318" w14:textId="77777777" w:rsidR="00FD29E2" w:rsidRPr="00FD29E2" w:rsidRDefault="00FD29E2" w:rsidP="00FD29E2">
      <w:pPr>
        <w:pStyle w:val="Textnormy"/>
      </w:pPr>
      <w:r w:rsidRPr="00FD29E2">
        <w:t>Tato změna A1 mění evropskou normu EN 302-3:2004; byla schválena CEN dne 2010-09-26.</w:t>
      </w:r>
    </w:p>
    <w:p w14:paraId="38F26FD3" w14:textId="77777777" w:rsidR="00FD29E2" w:rsidRPr="00FD29E2" w:rsidRDefault="00FD29E2" w:rsidP="00FD29E2">
      <w:pPr>
        <w:pStyle w:val="Textnormy"/>
      </w:pPr>
      <w:r w:rsidRPr="00FD29E2">
        <w:t>Členové CEN jsou povinni splnit vnitřní předpisy CEN/CENELEC, v nichž jsou stanoveny podmínky, za kterých se této změně bez jakýchkoliv modifikací uděluje status národní normy. Aktualizované seznamy a bibliografické citace týkající se těchto národních norem lze obdržet na vyžádání v Řídicím centru CEN-CENELEC nebo u kteréhokoliv člena CEN.</w:t>
      </w:r>
    </w:p>
    <w:p w14:paraId="47B8BCA8" w14:textId="77777777" w:rsidR="00FD29E2" w:rsidRPr="00FD29E2" w:rsidRDefault="00FD29E2" w:rsidP="00FD29E2">
      <w:pPr>
        <w:pStyle w:val="Textnormy"/>
      </w:pPr>
      <w:r w:rsidRPr="00FD29E2">
        <w:t>Tato změna existuje ve třech oficiálních verzích (anglické, francouzské, německé). Verze v každém jiném jazyce přeložená členem CEN do jeho vlastního jazyka, za kterou zodpovídá a kterou notifikuje Řídicímu centru CEN-CENELEC, má stejný status jako oficiální verze.</w:t>
      </w:r>
    </w:p>
    <w:p w14:paraId="152A4C0E" w14:textId="77777777" w:rsidR="00FD29E2" w:rsidRPr="00FD29E2" w:rsidRDefault="00325305" w:rsidP="00FD29E2">
      <w:pPr>
        <w:pStyle w:val="Textnormy"/>
      </w:pPr>
      <w:r w:rsidRPr="00AC0FA5">
        <w:t xml:space="preserve">Členy CEN jsou národní normalizační orgány Belgie, Bulharska, České republiky, Dánska, Estonska, Finska, Francie, Chorvatska, Irska, Islandu, Itálie, Kypru, Litvy, Lotyšska, Lucemburska, Maďarska, Malty, Německa, </w:t>
      </w:r>
      <w:r>
        <w:br/>
      </w:r>
      <w:r w:rsidRPr="00D7418E">
        <w:rPr>
          <w:spacing w:val="-3"/>
        </w:rPr>
        <w:t>Nizozemska, Norska, Polska, Portugalska, Rakouska, Republiky Severní Makedonie, Rumunska, Řecka, Slovenska</w:t>
      </w:r>
      <w:r w:rsidRPr="00AC0FA5">
        <w:t xml:space="preserve">, Slovinska, Spojeného království, </w:t>
      </w:r>
      <w:r>
        <w:t xml:space="preserve">Srbska, </w:t>
      </w:r>
      <w:r w:rsidRPr="00AC0FA5">
        <w:t>Španělska, Švédska, Švýcarska a Turecka.</w:t>
      </w:r>
    </w:p>
    <w:p w14:paraId="12B47275" w14:textId="77777777" w:rsidR="00FD29E2" w:rsidRDefault="00FD29E2" w:rsidP="00FD29E2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t xml:space="preserve"> </w:t>
      </w:r>
      <w:r w:rsidRPr="00AA7CB9">
        <w:rPr>
          <w:noProof/>
        </w:rPr>
        <w:drawing>
          <wp:inline distT="0" distB="0" distL="0" distR="0" wp14:anchorId="7197E2CE" wp14:editId="6AE4FDD5">
            <wp:extent cx="1013460" cy="80772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2F979CEA" w14:textId="77777777" w:rsidR="00FD29E2" w:rsidRDefault="00FD29E2" w:rsidP="00FD29E2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666B8F80" w14:textId="77777777" w:rsidR="00FD29E2" w:rsidRDefault="00FD29E2" w:rsidP="00FD29E2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476D212D" w14:textId="77777777" w:rsidR="00FD29E2" w:rsidRDefault="00FD29E2" w:rsidP="00FD29E2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409EA8F8" w14:textId="77777777" w:rsidR="00FD29E2" w:rsidRDefault="00FD29E2" w:rsidP="00FD29E2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21C501F8" w14:textId="77777777" w:rsidR="00FD29E2" w:rsidRDefault="00FD29E2" w:rsidP="00FD29E2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23, B-1040 Brusel</w:t>
      </w:r>
    </w:p>
    <w:p w14:paraId="1DE952B3" w14:textId="77777777" w:rsidR="00FD29E2" w:rsidRDefault="00FD29E2" w:rsidP="00FD29E2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2010 CEN</w:t>
      </w:r>
      <w:r>
        <w:tab/>
        <w:t>Veškerá práva pro využití v jakékoli</w:t>
      </w:r>
      <w:r w:rsidR="00CB2850">
        <w:t>v</w:t>
      </w:r>
      <w:r>
        <w:t xml:space="preserve"> formě a jakýmikoli</w:t>
      </w:r>
      <w:r w:rsidR="00CB2850">
        <w:t>v</w:t>
      </w:r>
      <w:r>
        <w:t xml:space="preserve"> prostředky </w:t>
      </w:r>
      <w:r>
        <w:tab/>
        <w:t>Ref. č. EN 302-3:2004/A1:2010 E</w:t>
      </w:r>
      <w:r>
        <w:br/>
        <w:t>jsou celosvětově vyhrazena národním členům CEN.</w:t>
      </w:r>
    </w:p>
    <w:p w14:paraId="1B165B12" w14:textId="77777777" w:rsidR="00FD29E2" w:rsidRPr="00CA77DE" w:rsidRDefault="00FD29E2" w:rsidP="00FD29E2">
      <w:pPr>
        <w:pStyle w:val="Textnormy"/>
      </w:pPr>
    </w:p>
    <w:p w14:paraId="43B0844D" w14:textId="77777777" w:rsidR="00FD29E2" w:rsidRPr="00CA77DE" w:rsidRDefault="00FD29E2" w:rsidP="00FD29E2">
      <w:pPr>
        <w:pStyle w:val="Nadpiskapitoly"/>
        <w:pageBreakBefore/>
        <w:spacing w:before="0"/>
        <w:rPr>
          <w:kern w:val="28"/>
        </w:rPr>
      </w:pPr>
      <w:r>
        <w:rPr>
          <w:kern w:val="28"/>
        </w:rPr>
        <w:lastRenderedPageBreak/>
        <w:t>Evropská p</w:t>
      </w:r>
      <w:r w:rsidRPr="00CA77DE">
        <w:rPr>
          <w:kern w:val="28"/>
        </w:rPr>
        <w:t>ředmluva</w:t>
      </w:r>
    </w:p>
    <w:p w14:paraId="65D051BE" w14:textId="77777777" w:rsidR="00FD29E2" w:rsidRPr="00CA77DE" w:rsidRDefault="00FD29E2" w:rsidP="00FD29E2">
      <w:pPr>
        <w:pStyle w:val="Textnormy"/>
      </w:pPr>
      <w:r w:rsidRPr="00CA77DE">
        <w:t>T</w:t>
      </w:r>
      <w:r>
        <w:t>u</w:t>
      </w:r>
      <w:r w:rsidRPr="00CA77DE">
        <w:t xml:space="preserve">to </w:t>
      </w:r>
      <w:r>
        <w:t>změnu</w:t>
      </w:r>
      <w:r w:rsidRPr="00CA77DE">
        <w:t xml:space="preserve"> (EN</w:t>
      </w:r>
      <w:r>
        <w:t> </w:t>
      </w:r>
      <w:r w:rsidRPr="00CA77DE">
        <w:t>302-3:2004/A1:20</w:t>
      </w:r>
      <w:r>
        <w:t>10</w:t>
      </w:r>
      <w:r w:rsidRPr="00CA77DE">
        <w:t>) vypracov</w:t>
      </w:r>
      <w:r>
        <w:t>al</w:t>
      </w:r>
      <w:r w:rsidRPr="00CA77DE">
        <w:t>a technick</w:t>
      </w:r>
      <w:r>
        <w:t>á</w:t>
      </w:r>
      <w:r w:rsidRPr="00CA77DE">
        <w:t xml:space="preserve"> komis</w:t>
      </w:r>
      <w:r>
        <w:t>e</w:t>
      </w:r>
      <w:r w:rsidRPr="00CA77DE">
        <w:t xml:space="preserve"> CEN/TC</w:t>
      </w:r>
      <w:r>
        <w:t> </w:t>
      </w:r>
      <w:r w:rsidRPr="00CA77DE">
        <w:t xml:space="preserve">193 </w:t>
      </w:r>
      <w:r w:rsidRPr="00F153BA">
        <w:rPr>
          <w:i/>
        </w:rPr>
        <w:t>Lepidla</w:t>
      </w:r>
      <w:r w:rsidRPr="00CA77DE">
        <w:t>, jejíž sekretariát zajišťuje AENOR.</w:t>
      </w:r>
    </w:p>
    <w:p w14:paraId="03DCC2B7" w14:textId="77777777" w:rsidR="00FD29E2" w:rsidRPr="00CA77DE" w:rsidRDefault="00FD29E2" w:rsidP="00FD29E2">
      <w:pPr>
        <w:pStyle w:val="Textnormy"/>
      </w:pPr>
      <w:r w:rsidRPr="00CA77DE">
        <w:t xml:space="preserve">Této </w:t>
      </w:r>
      <w:r w:rsidRPr="00770A39">
        <w:t>změně evropské normy</w:t>
      </w:r>
      <w:r w:rsidRPr="00CA77DE">
        <w:t xml:space="preserve"> EN</w:t>
      </w:r>
      <w:r>
        <w:t> </w:t>
      </w:r>
      <w:r w:rsidRPr="00CA77DE">
        <w:t>302-3:2004 je nutno nejpozději do května</w:t>
      </w:r>
      <w:r>
        <w:t> </w:t>
      </w:r>
      <w:r w:rsidRPr="00CA77DE">
        <w:t>20</w:t>
      </w:r>
      <w:r>
        <w:t>11</w:t>
      </w:r>
      <w:r w:rsidRPr="00CA77DE">
        <w:t xml:space="preserve"> </w:t>
      </w:r>
      <w:r>
        <w:t>udělit</w:t>
      </w:r>
      <w:r w:rsidRPr="00CA77DE">
        <w:t xml:space="preserve"> status národní normy, a to buď vydáním identického textu, nebo schválením k přímému používání, a národní normy, které jsou s ní v rozporu, je nutno zrušit nejpozději do května 20</w:t>
      </w:r>
      <w:r>
        <w:t>11</w:t>
      </w:r>
      <w:r w:rsidRPr="00CA77DE">
        <w:t>.</w:t>
      </w:r>
    </w:p>
    <w:p w14:paraId="47268E0B" w14:textId="17B593CD" w:rsidR="00FD29E2" w:rsidRDefault="00FD29E2" w:rsidP="00FD29E2">
      <w:pPr>
        <w:pStyle w:val="Textnormy"/>
      </w:pPr>
      <w:r>
        <w:t>Upozorňuje se</w:t>
      </w:r>
      <w:r w:rsidRPr="00CA77DE">
        <w:t xml:space="preserve"> </w:t>
      </w:r>
      <w:r>
        <w:t xml:space="preserve">na </w:t>
      </w:r>
      <w:r w:rsidRPr="00CA77DE">
        <w:t>možnost, že některé prvk</w:t>
      </w:r>
      <w:r>
        <w:t>y</w:t>
      </w:r>
      <w:r w:rsidRPr="00CA77DE">
        <w:t xml:space="preserve"> tohoto dokumentu mohou být předmětem patentových práv. CEN </w:t>
      </w:r>
      <w:r>
        <w:t>nelze</w:t>
      </w:r>
      <w:r w:rsidRPr="00CA77DE">
        <w:t xml:space="preserve"> čin</w:t>
      </w:r>
      <w:r>
        <w:t>it</w:t>
      </w:r>
      <w:r w:rsidRPr="00CA77DE">
        <w:t xml:space="preserve"> odpovědným za identifikaci </w:t>
      </w:r>
      <w:r>
        <w:t>jakéhokoliv</w:t>
      </w:r>
      <w:r w:rsidRPr="00CA77DE">
        <w:t xml:space="preserve"> nebo všech patentových práv.</w:t>
      </w:r>
    </w:p>
    <w:p w14:paraId="2BF3EEE6" w14:textId="440F60F0" w:rsidR="007F77A2" w:rsidRPr="00CA77DE" w:rsidRDefault="009E1EA5" w:rsidP="00FD29E2">
      <w:pPr>
        <w:pStyle w:val="Textnormy"/>
      </w:pPr>
      <w:r w:rsidRPr="007C4A20">
        <w:rPr>
          <w:rFonts w:cs="Arial"/>
          <w:color w:val="000000"/>
        </w:rPr>
        <w:t>Jakákoli zpětná vazba a otázky týkající se tohoto dokumentu mají být adresovány národnímu normalizačnímu orgánu uživatele. Úplný seznam těchto orgánů lze nalézt na webových stránkách CEN</w:t>
      </w:r>
      <w:r>
        <w:rPr>
          <w:rFonts w:cs="Arial"/>
          <w:color w:val="000000"/>
        </w:rPr>
        <w:t>.</w:t>
      </w:r>
    </w:p>
    <w:p w14:paraId="2D24123D" w14:textId="77777777" w:rsidR="00FD29E2" w:rsidRPr="00FD29E2" w:rsidRDefault="00FD29E2" w:rsidP="00FD29E2">
      <w:pPr>
        <w:pStyle w:val="Textnormy"/>
      </w:pPr>
      <w:r w:rsidRPr="00FD29E2">
        <w:t xml:space="preserve">Podle vnitřních předpisů CEN-CENELEC jsou tuto evropskou normu povinny zavést národní normalizační organizace následujících zemí: Belgie, Bulharska, České republiky, Dánska, Estonska, Finska, Francie, Chorvatska, Irska, Islandu, Itálie, Kypru, Litvy, Lotyšska, Lucemburska, Maďarska, Malty, Německa, Nizozemska, Norska, Polska, Portugalska, Rakouska, </w:t>
      </w:r>
      <w:r w:rsidR="00325305">
        <w:t xml:space="preserve">Republiky Severní Makedonie, </w:t>
      </w:r>
      <w:r w:rsidRPr="00FD29E2">
        <w:t xml:space="preserve">Rumunska, Řecka, Slovenska, Slovinska, Spojeného království, </w:t>
      </w:r>
      <w:r w:rsidR="00CB2850">
        <w:t xml:space="preserve">Srbska, </w:t>
      </w:r>
      <w:r w:rsidRPr="00FD29E2">
        <w:t>Španělska, Švédska, Švýcarska a Turecka.</w:t>
      </w:r>
    </w:p>
    <w:p w14:paraId="5BDC8A9F" w14:textId="77777777" w:rsidR="00FD29E2" w:rsidRPr="009936EB" w:rsidRDefault="00FD29E2" w:rsidP="00FD29E2">
      <w:pPr>
        <w:pStyle w:val="Nadpis1"/>
        <w:spacing w:before="0"/>
        <w:rPr>
          <w:i/>
        </w:rPr>
      </w:pPr>
      <w:r>
        <w:br w:type="page"/>
      </w:r>
      <w:bookmarkStart w:id="0" w:name="_Toc359251363"/>
      <w:bookmarkStart w:id="1" w:name="_Toc359251521"/>
      <w:bookmarkStart w:id="2" w:name="_Toc359251681"/>
      <w:bookmarkStart w:id="3" w:name="_Toc359251938"/>
      <w:bookmarkStart w:id="4" w:name="_Toc359252127"/>
      <w:bookmarkStart w:id="5" w:name="_Toc359252242"/>
      <w:bookmarkStart w:id="6" w:name="_Toc359252485"/>
      <w:bookmarkStart w:id="7" w:name="_Toc359252725"/>
      <w:bookmarkStart w:id="8" w:name="_Toc359252846"/>
      <w:bookmarkStart w:id="9" w:name="_Toc359252920"/>
      <w:bookmarkStart w:id="10" w:name="_Toc359283646"/>
      <w:bookmarkStart w:id="11" w:name="_Toc365965546"/>
      <w:bookmarkStart w:id="12" w:name="_Toc365967313"/>
      <w:bookmarkStart w:id="13" w:name="_Toc365968760"/>
      <w:bookmarkStart w:id="14" w:name="_Toc367082925"/>
      <w:bookmarkStart w:id="15" w:name="_Toc372429540"/>
      <w:bookmarkStart w:id="16" w:name="_Toc375302774"/>
      <w:bookmarkStart w:id="17" w:name="_Toc379098931"/>
      <w:bookmarkStart w:id="18" w:name="_Toc380735104"/>
      <w:bookmarkStart w:id="19" w:name="_Toc380735204"/>
      <w:bookmarkStart w:id="20" w:name="_Toc380825388"/>
      <w:bookmarkStart w:id="21" w:name="_Toc380827277"/>
      <w:bookmarkStart w:id="22" w:name="_Toc380886223"/>
      <w:bookmarkStart w:id="23" w:name="_Toc380886261"/>
      <w:bookmarkStart w:id="24" w:name="_Toc380886371"/>
      <w:bookmarkStart w:id="25" w:name="_Toc380886468"/>
      <w:bookmarkStart w:id="26" w:name="_Toc4487159"/>
      <w:bookmarkStart w:id="27" w:name="_Toc4487251"/>
      <w:r w:rsidRPr="00CA77DE">
        <w:lastRenderedPageBreak/>
        <w:t>1</w:t>
      </w:r>
      <w:r w:rsidRPr="00CA77DE">
        <w:rPr>
          <w:rFonts w:ascii="Arial Unicode MS" w:eastAsia="Arial Unicode MS" w:hAnsi="Arial Unicode MS" w:cs="Arial Unicode MS" w:hint="eastAsia"/>
        </w:rPr>
        <w:t> </w:t>
      </w:r>
      <w:r w:rsidRPr="00CA77DE">
        <w:t>Předmět normy</w:t>
      </w:r>
    </w:p>
    <w:p w14:paraId="36BED525" w14:textId="77777777" w:rsidR="00FD29E2" w:rsidRPr="00FD29E2" w:rsidRDefault="00FD29E2" w:rsidP="00FD29E2">
      <w:pPr>
        <w:pStyle w:val="Textnormy"/>
      </w:pPr>
      <w:r w:rsidRPr="00FD29E2">
        <w:rPr>
          <w:i/>
        </w:rPr>
        <w:t>4. odstavec, 1. věta: text „Metoda je vhodná pro zjišťování numerických hodnot .....“ se nahrazuje zněním:</w:t>
      </w:r>
      <w:r w:rsidRPr="00FD29E2">
        <w:t xml:space="preserve"> „Metoda není vhodná pro zjišťování numerických hodnot ....“ </w:t>
      </w:r>
      <w:r w:rsidRPr="00FD29E2">
        <w:rPr>
          <w:rStyle w:val="Znakapoznpodarou"/>
        </w:rPr>
        <w:footnoteReference w:customMarkFollows="1" w:id="1"/>
        <w:t>NP1)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p w14:paraId="5203CF0C" w14:textId="77777777" w:rsidR="00FD29E2" w:rsidRPr="00FD29E2" w:rsidRDefault="00FD29E2" w:rsidP="00FD29E2">
      <w:pPr>
        <w:pStyle w:val="Nadpislnku"/>
      </w:pPr>
      <w:r w:rsidRPr="00FD29E2">
        <w:t>5.2</w:t>
      </w:r>
      <w:r w:rsidRPr="00FD29E2">
        <w:rPr>
          <w:rFonts w:ascii="Arial Unicode MS" w:eastAsia="Arial Unicode MS" w:hAnsi="Arial Unicode MS" w:cs="Arial Unicode MS" w:hint="eastAsia"/>
        </w:rPr>
        <w:t> </w:t>
      </w:r>
      <w:r w:rsidRPr="00FD29E2">
        <w:t>Klimatizační boxy</w:t>
      </w:r>
    </w:p>
    <w:p w14:paraId="772ADAB2" w14:textId="77777777" w:rsidR="00FD29E2" w:rsidRPr="00FD29E2" w:rsidRDefault="00FD29E2" w:rsidP="00FD29E2">
      <w:pPr>
        <w:pStyle w:val="Textnormy"/>
      </w:pPr>
      <w:r w:rsidRPr="00FD29E2">
        <w:rPr>
          <w:i/>
        </w:rPr>
        <w:t>V a) se text</w:t>
      </w:r>
      <w:r w:rsidRPr="00FD29E2">
        <w:t xml:space="preserve"> </w:t>
      </w:r>
      <w:r w:rsidRPr="00FD29E2">
        <w:rPr>
          <w:i/>
        </w:rPr>
        <w:t>„100 %“</w:t>
      </w:r>
      <w:r w:rsidRPr="00FD29E2">
        <w:t xml:space="preserve"> </w:t>
      </w:r>
      <w:r w:rsidRPr="00FD29E2">
        <w:rPr>
          <w:i/>
        </w:rPr>
        <w:t>zrušuje a</w:t>
      </w:r>
      <w:r w:rsidRPr="00FD29E2">
        <w:t xml:space="preserve"> </w:t>
      </w:r>
      <w:r w:rsidRPr="00FD29E2">
        <w:rPr>
          <w:i/>
        </w:rPr>
        <w:t>nahrazuje zněním</w:t>
      </w:r>
      <w:r w:rsidRPr="00FD29E2">
        <w:t xml:space="preserve"> „(87,5 </w:t>
      </w:r>
      <w:r w:rsidRPr="00FD29E2">
        <w:rPr>
          <w:rFonts w:cs="Arial"/>
        </w:rPr>
        <w:sym w:font="Symbol" w:char="F0B1"/>
      </w:r>
      <w:r w:rsidRPr="00FD29E2">
        <w:rPr>
          <w:rFonts w:cs="Arial"/>
        </w:rPr>
        <w:t> </w:t>
      </w:r>
      <w:r w:rsidRPr="00FD29E2">
        <w:t>2,5) %“.</w:t>
      </w:r>
    </w:p>
    <w:p w14:paraId="4214C89D" w14:textId="77777777" w:rsidR="00FD29E2" w:rsidRPr="00FD29E2" w:rsidRDefault="00FD29E2" w:rsidP="00FD29E2">
      <w:pPr>
        <w:pStyle w:val="Textnormy"/>
        <w:spacing w:before="120"/>
      </w:pPr>
      <w:r w:rsidRPr="00FD29E2">
        <w:rPr>
          <w:i/>
        </w:rPr>
        <w:t>V b) se text</w:t>
      </w:r>
      <w:r w:rsidRPr="00FD29E2">
        <w:t xml:space="preserve"> </w:t>
      </w:r>
      <w:r w:rsidRPr="00FD29E2">
        <w:rPr>
          <w:i/>
        </w:rPr>
        <w:t>„100 %“ zrušuje a</w:t>
      </w:r>
      <w:r w:rsidRPr="00FD29E2">
        <w:t xml:space="preserve"> </w:t>
      </w:r>
      <w:r w:rsidRPr="00FD29E2">
        <w:rPr>
          <w:i/>
        </w:rPr>
        <w:t>nahrazuje zněním</w:t>
      </w:r>
      <w:r w:rsidRPr="00FD29E2">
        <w:t xml:space="preserve"> „(87,5 </w:t>
      </w:r>
      <w:r w:rsidRPr="00FD29E2">
        <w:rPr>
          <w:rFonts w:cs="Arial"/>
        </w:rPr>
        <w:sym w:font="Symbol" w:char="F0B1"/>
      </w:r>
      <w:r w:rsidRPr="00FD29E2">
        <w:t> 2,5) %“.</w:t>
      </w:r>
    </w:p>
    <w:p w14:paraId="326102E2" w14:textId="77777777" w:rsidR="00FD29E2" w:rsidRPr="00FD29E2" w:rsidRDefault="00FD29E2" w:rsidP="00FD29E2">
      <w:pPr>
        <w:pStyle w:val="Textnormy"/>
        <w:spacing w:before="120"/>
      </w:pPr>
      <w:r w:rsidRPr="00FD29E2">
        <w:rPr>
          <w:i/>
        </w:rPr>
        <w:t>V c) se text</w:t>
      </w:r>
      <w:r w:rsidRPr="00FD29E2">
        <w:t xml:space="preserve"> </w:t>
      </w:r>
      <w:r w:rsidRPr="00FD29E2">
        <w:rPr>
          <w:i/>
        </w:rPr>
        <w:t xml:space="preserve">„(0,5 </w:t>
      </w:r>
      <w:r w:rsidRPr="00FD29E2">
        <w:rPr>
          <w:rFonts w:cs="Arial"/>
          <w:i/>
        </w:rPr>
        <w:sym w:font="Symbol" w:char="F0B1"/>
      </w:r>
      <w:r w:rsidRPr="00FD29E2">
        <w:rPr>
          <w:i/>
        </w:rPr>
        <w:t> 0,3) m/s“ zrušuje a nahrazuje zněním</w:t>
      </w:r>
      <w:r w:rsidRPr="00FD29E2">
        <w:t xml:space="preserve"> „(0,75 </w:t>
      </w:r>
      <w:r w:rsidRPr="00FD29E2">
        <w:rPr>
          <w:rFonts w:cs="Arial"/>
        </w:rPr>
        <w:sym w:font="Symbol" w:char="F0B1"/>
      </w:r>
      <w:r w:rsidRPr="00FD29E2">
        <w:t> 0,25) m/s během zkoušení“.</w:t>
      </w:r>
    </w:p>
    <w:p w14:paraId="4EB85564" w14:textId="77777777" w:rsidR="00FD29E2" w:rsidRPr="00FD29E2" w:rsidRDefault="00FD29E2" w:rsidP="00FD29E2">
      <w:pPr>
        <w:pStyle w:val="Textnormy"/>
        <w:spacing w:before="120"/>
        <w:rPr>
          <w:i/>
        </w:rPr>
      </w:pPr>
      <w:r w:rsidRPr="00FD29E2">
        <w:rPr>
          <w:i/>
        </w:rPr>
        <w:t>Vkládá se nový článek 5.3</w:t>
      </w:r>
    </w:p>
    <w:p w14:paraId="10B0CD80" w14:textId="77777777" w:rsidR="00FD29E2" w:rsidRPr="00FD29E2" w:rsidRDefault="00FD29E2" w:rsidP="00FD29E2">
      <w:pPr>
        <w:pStyle w:val="Nadpislnku"/>
      </w:pPr>
      <w:r w:rsidRPr="00FD29E2">
        <w:rPr>
          <w:b w:val="0"/>
        </w:rPr>
        <w:t>„</w:t>
      </w:r>
      <w:r w:rsidRPr="00FD29E2">
        <w:t>5.3</w:t>
      </w:r>
      <w:r w:rsidRPr="00FD29E2">
        <w:t> </w:t>
      </w:r>
      <w:r w:rsidRPr="00FD29E2">
        <w:t>Vzduchotěsná skleněná nádoba</w:t>
      </w:r>
    </w:p>
    <w:p w14:paraId="69C857C0" w14:textId="77777777" w:rsidR="00FD29E2" w:rsidRPr="00FD29E2" w:rsidRDefault="00FD29E2" w:rsidP="00FD29E2">
      <w:pPr>
        <w:pStyle w:val="Textnormy"/>
      </w:pPr>
      <w:r w:rsidRPr="00FD29E2">
        <w:t>Požaduje se vzduchotěsná skleněná nádoba, např. exsikátor s víkem, s následujícími rozměry:</w:t>
      </w:r>
    </w:p>
    <w:p w14:paraId="45DB600E" w14:textId="77777777" w:rsidR="00FD29E2" w:rsidRPr="00FD29E2" w:rsidRDefault="00FD29E2" w:rsidP="00487694">
      <w:pPr>
        <w:pStyle w:val="Abecednseznam"/>
      </w:pPr>
      <w:r w:rsidRPr="00FD29E2">
        <w:t xml:space="preserve">objem </w:t>
      </w:r>
      <w:smartTag w:uri="urn:schemas-microsoft-com:office:smarttags" w:element="metricconverter">
        <w:smartTagPr>
          <w:attr w:name="ProductID" w:val="2ﾠl"/>
        </w:smartTagPr>
        <w:r w:rsidRPr="00FD29E2">
          <w:t>2 l</w:t>
        </w:r>
      </w:smartTag>
      <w:r w:rsidRPr="00FD29E2">
        <w:t xml:space="preserve"> až </w:t>
      </w:r>
      <w:smartTag w:uri="urn:schemas-microsoft-com:office:smarttags" w:element="metricconverter">
        <w:smartTagPr>
          <w:attr w:name="ProductID" w:val="10ﾠl"/>
        </w:smartTagPr>
        <w:r w:rsidRPr="00FD29E2">
          <w:t>10 l</w:t>
        </w:r>
      </w:smartTag>
      <w:r w:rsidRPr="00FD29E2">
        <w:t>;</w:t>
      </w:r>
    </w:p>
    <w:p w14:paraId="0C00C3DE" w14:textId="77777777" w:rsidR="00FD29E2" w:rsidRPr="00FD29E2" w:rsidRDefault="00FD29E2" w:rsidP="00487694">
      <w:pPr>
        <w:pStyle w:val="Abecednseznam"/>
      </w:pPr>
      <w:r w:rsidRPr="00FD29E2">
        <w:t>poměr maximální výška/maximální šířka od 1/1 do ½.“</w:t>
      </w:r>
    </w:p>
    <w:p w14:paraId="1466D9C4" w14:textId="77777777" w:rsidR="00FD29E2" w:rsidRPr="00FD29E2" w:rsidRDefault="00FD29E2" w:rsidP="00FD29E2">
      <w:pPr>
        <w:pStyle w:val="Nadpislnku"/>
      </w:pPr>
      <w:r w:rsidRPr="00FD29E2">
        <w:t>6.2</w:t>
      </w:r>
      <w:r w:rsidRPr="00FD29E2">
        <w:rPr>
          <w:rFonts w:ascii="Arial Unicode MS" w:eastAsia="Arial Unicode MS" w:hAnsi="Arial Unicode MS" w:cs="Arial Unicode MS" w:hint="eastAsia"/>
        </w:rPr>
        <w:t> </w:t>
      </w:r>
      <w:r w:rsidRPr="00FD29E2">
        <w:t>Příprava slepených adherendů</w:t>
      </w:r>
    </w:p>
    <w:p w14:paraId="48BCFDEF" w14:textId="77777777" w:rsidR="00FD29E2" w:rsidRPr="00FD29E2" w:rsidRDefault="00FD29E2" w:rsidP="00FD29E2">
      <w:pPr>
        <w:pStyle w:val="Textnormy"/>
      </w:pPr>
      <w:r w:rsidRPr="00FD29E2">
        <w:rPr>
          <w:i/>
        </w:rPr>
        <w:t>Text první věty 2. odstavce („Oba povrchy určené ke slepení se ne déle než 8 hodin před lepením lehce ohoblují“) se nahrazuje zněním</w:t>
      </w:r>
      <w:r w:rsidRPr="00FD29E2">
        <w:t xml:space="preserve"> „Ne déle než 8 hodin před lepením se každý povrch určený ke slepení ohobluje na konečnou tloušťku nejméně </w:t>
      </w:r>
      <w:smartTag w:uri="urn:schemas-microsoft-com:office:smarttags" w:element="metricconverter">
        <w:smartTagPr>
          <w:attr w:name="ProductID" w:val="25ﾠmm"/>
        </w:smartTagPr>
        <w:r w:rsidRPr="00FD29E2">
          <w:t>25 mm</w:t>
        </w:r>
      </w:smartTag>
      <w:r w:rsidRPr="00FD29E2">
        <w:t>.“</w:t>
      </w:r>
    </w:p>
    <w:p w14:paraId="1566897A" w14:textId="77777777" w:rsidR="00FD29E2" w:rsidRPr="00FD29E2" w:rsidRDefault="00FD29E2" w:rsidP="00FD29E2">
      <w:pPr>
        <w:pStyle w:val="Nadpislnku"/>
      </w:pPr>
      <w:r w:rsidRPr="00FD29E2">
        <w:t>6.5</w:t>
      </w:r>
      <w:r w:rsidRPr="00FD29E2">
        <w:rPr>
          <w:rFonts w:cs="Arial"/>
        </w:rPr>
        <w:t> </w:t>
      </w:r>
      <w:r w:rsidRPr="00FD29E2">
        <w:t>Klimatické a cyklické podmínky expozice</w:t>
      </w:r>
    </w:p>
    <w:p w14:paraId="19B4C405" w14:textId="77777777" w:rsidR="00FD29E2" w:rsidRPr="00FD29E2" w:rsidRDefault="00FD29E2" w:rsidP="00FD29E2">
      <w:pPr>
        <w:pStyle w:val="Textnormy"/>
        <w:rPr>
          <w:i/>
        </w:rPr>
      </w:pPr>
      <w:r w:rsidRPr="00FD29E2">
        <w:rPr>
          <w:i/>
        </w:rPr>
        <w:t>POZNÁMKA se zrušuje a místo ní se vkládají následující odstavce:</w:t>
      </w:r>
    </w:p>
    <w:p w14:paraId="46D0BE38" w14:textId="77777777" w:rsidR="00FD29E2" w:rsidRPr="00FD29E2" w:rsidRDefault="00FD29E2" w:rsidP="00FD29E2">
      <w:pPr>
        <w:pStyle w:val="Textnormy"/>
      </w:pPr>
      <w:r w:rsidRPr="00FD29E2">
        <w:t>„Výše uvedených klimatických podmínek lze dosáhnout uložením vzorků v klimatizačním boxu nebo použitím metody popsané níže:</w:t>
      </w:r>
    </w:p>
    <w:p w14:paraId="511E5258" w14:textId="77777777" w:rsidR="00FD29E2" w:rsidRPr="00FD29E2" w:rsidRDefault="00FD29E2" w:rsidP="00FD29E2">
      <w:pPr>
        <w:pStyle w:val="Textnormy"/>
      </w:pPr>
      <w:r w:rsidRPr="00FD29E2">
        <w:t>V sušárně se předehřeje skleněný exsikátor (viz 5.3) na (50 </w:t>
      </w:r>
      <w:r w:rsidRPr="00FD29E2">
        <w:sym w:font="Symbol" w:char="F0B1"/>
      </w:r>
      <w:r w:rsidRPr="00FD29E2">
        <w:t> 2) °C. Do exsikátoru se nalije voda předehřátá na (50 </w:t>
      </w:r>
      <w:r w:rsidRPr="00FD29E2">
        <w:sym w:font="Symbol" w:char="F0B1"/>
      </w:r>
      <w:r w:rsidRPr="00FD29E2">
        <w:t xml:space="preserve"> 2) °C tak, aby byl naplněn do hloubky </w:t>
      </w:r>
      <w:smartTag w:uri="urn:schemas-microsoft-com:office:smarttags" w:element="metricconverter">
        <w:smartTagPr>
          <w:attr w:name="ProductID" w:val="15ﾠmm"/>
        </w:smartTagPr>
        <w:r w:rsidRPr="00FD29E2">
          <w:t>15 mm</w:t>
        </w:r>
      </w:smartTag>
      <w:r w:rsidRPr="00FD29E2">
        <w:t xml:space="preserve"> až </w:t>
      </w:r>
      <w:smartTag w:uri="urn:schemas-microsoft-com:office:smarttags" w:element="metricconverter">
        <w:smartTagPr>
          <w:attr w:name="ProductID" w:val="20ﾠmm"/>
        </w:smartTagPr>
        <w:r w:rsidRPr="00FD29E2">
          <w:t>20 mm</w:t>
        </w:r>
      </w:smartTag>
      <w:r w:rsidRPr="00FD29E2">
        <w:t xml:space="preserve">. Do exsikátoru se vloží vzorky tak, aby jejich vzájemná vzdálenost a vzdálenost mezi nimi a stěnou exsikátoru byla nejméně </w:t>
      </w:r>
      <w:smartTag w:uri="urn:schemas-microsoft-com:office:smarttags" w:element="metricconverter">
        <w:smartTagPr>
          <w:attr w:name="ProductID" w:val="10ﾠmm"/>
        </w:smartTagPr>
        <w:r w:rsidRPr="00FD29E2">
          <w:t>10 mm</w:t>
        </w:r>
      </w:smartTag>
      <w:r w:rsidRPr="00FD29E2">
        <w:t xml:space="preserve">. Zajistí se, aby vzdálenost mezi nejvrchnějším vzorkem a víkem exsikátoru byla větší než </w:t>
      </w:r>
      <w:smartTag w:uri="urn:schemas-microsoft-com:office:smarttags" w:element="metricconverter">
        <w:smartTagPr>
          <w:attr w:name="ProductID" w:val="40ﾠmm"/>
        </w:smartTagPr>
        <w:r w:rsidRPr="00FD29E2">
          <w:t>40 mm</w:t>
        </w:r>
      </w:smartTag>
      <w:r w:rsidRPr="00FD29E2">
        <w:t>. Exsikátor se uzavře vzduchotěsným víkem a umístí se do předehřáté sušárny. Exsikátor se během podmínek expozice A a B neotvírá. Klimatických podmínek daných v C se obvykle dosáhne volným uložením vzorků do předehřáté sušárny.“</w:t>
      </w:r>
    </w:p>
    <w:p w14:paraId="1349D84E" w14:textId="77777777" w:rsidR="00A83EAB" w:rsidRPr="00FD29E2" w:rsidRDefault="00A83EAB" w:rsidP="00CB2850">
      <w:pPr>
        <w:pStyle w:val="Textnormy"/>
      </w:pPr>
    </w:p>
    <w:sectPr w:rsidR="00A83EAB" w:rsidRPr="00FD29E2" w:rsidSect="00AF7E9D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B0CAA" w14:textId="77777777" w:rsidR="00AF1A4D" w:rsidRDefault="00AF1A4D">
      <w:r>
        <w:separator/>
      </w:r>
    </w:p>
  </w:endnote>
  <w:endnote w:type="continuationSeparator" w:id="0">
    <w:p w14:paraId="32BD5962" w14:textId="77777777" w:rsidR="00AF1A4D" w:rsidRDefault="00AF1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Bold r:id="rId1" w:subsetted="1" w:fontKey="{70BA2346-843E-49BF-A60C-9A0BD07E7CB8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381DF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55A1AE2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89B35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67571200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56871" w14:textId="78041C25" w:rsidR="00F34746" w:rsidRDefault="003D6509">
    <w:pPr>
      <w:pStyle w:val="1StrCopyright"/>
      <w:tabs>
        <w:tab w:val="clear" w:pos="2155"/>
      </w:tabs>
      <w:rPr>
        <w:sz w:val="16"/>
      </w:rPr>
    </w:pPr>
    <w:r>
      <w:rPr>
        <w:noProof/>
      </w:rPr>
      <w:drawing>
        <wp:anchor distT="0" distB="0" distL="114300" distR="114300" simplePos="0" relativeHeight="251674112" behindDoc="0" locked="0" layoutInCell="1" allowOverlap="1" wp14:anchorId="50B8B8B1" wp14:editId="599244E0">
          <wp:simplePos x="0" y="0"/>
          <wp:positionH relativeFrom="column">
            <wp:posOffset>3672</wp:posOffset>
          </wp:positionH>
          <wp:positionV relativeFrom="page">
            <wp:posOffset>9708543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36F4">
      <w:rPr>
        <w:noProof/>
      </w:rPr>
      <w:drawing>
        <wp:anchor distT="0" distB="0" distL="114300" distR="114300" simplePos="0" relativeHeight="251672064" behindDoc="0" locked="0" layoutInCell="1" allowOverlap="1" wp14:anchorId="54DA2DD9" wp14:editId="5747DDC3">
          <wp:simplePos x="0" y="0"/>
          <wp:positionH relativeFrom="column">
            <wp:posOffset>0</wp:posOffset>
          </wp:positionH>
          <wp:positionV relativeFrom="paragraph">
            <wp:posOffset>-60960</wp:posOffset>
          </wp:positionV>
          <wp:extent cx="730800" cy="435600"/>
          <wp:effectExtent l="0" t="0" r="0" b="3175"/>
          <wp:wrapNone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MZ-logo_barevne_CMYK-pozitiv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057" t="21114" r="15938" b="22412"/>
                  <a:stretch/>
                </pic:blipFill>
                <pic:spPr bwMode="auto">
                  <a:xfrm>
                    <a:off x="0" y="0"/>
                    <a:ext cx="730800" cy="435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34746">
      <w:tab/>
    </w:r>
    <w:r w:rsidR="00F34746">
      <w:rPr>
        <w:sz w:val="16"/>
      </w:rPr>
      <w:t xml:space="preserve">© Úřad pro technickou normalizaci, metrologii a státní zkušebnictví, </w:t>
    </w:r>
    <w:r w:rsidR="00FD29E2">
      <w:rPr>
        <w:sz w:val="16"/>
      </w:rPr>
      <w:t>RRRR</w:t>
    </w:r>
    <w:r w:rsidR="00F34746">
      <w:rPr>
        <w:sz w:val="16"/>
      </w:rPr>
      <w:tab/>
    </w:r>
    <w:r w:rsidR="00F34746">
      <w:rPr>
        <w:b/>
        <w:sz w:val="20"/>
      </w:rPr>
      <w:t>XXX</w:t>
    </w:r>
    <w:r w:rsidR="003B0D08">
      <w:rPr>
        <w:b/>
        <w:sz w:val="20"/>
      </w:rPr>
      <w:t>X</w:t>
    </w:r>
    <w:r w:rsidR="00F34746">
      <w:rPr>
        <w:b/>
        <w:sz w:val="20"/>
      </w:rPr>
      <w:t>XX</w:t>
    </w:r>
    <w:r w:rsidR="00F34746">
      <w:rPr>
        <w:b/>
        <w:sz w:val="16"/>
      </w:rPr>
      <w:br/>
    </w:r>
    <w:r w:rsidR="00F34746">
      <w:rPr>
        <w:sz w:val="16"/>
      </w:rPr>
      <w:t>Podle zákona č. 22/1997 Sb. smějí být české technické normy rozmnožovány a rozšiřovány</w:t>
    </w:r>
    <w:r w:rsidR="00F34746">
      <w:rPr>
        <w:sz w:val="16"/>
      </w:rPr>
      <w:br/>
      <w:t>jen se souhlasem Úřadu pro technickou normalizaci, metrologii a státní zkušebnictví.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B19E4" w14:textId="77777777" w:rsidR="00352AD0" w:rsidRDefault="0048769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E7F3A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D793B" w14:textId="77777777" w:rsidR="00352AD0" w:rsidRDefault="0048769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E7F3A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A8AF9" w14:textId="77777777" w:rsidR="00AF1A4D" w:rsidRDefault="00AF1A4D">
      <w:r>
        <w:separator/>
      </w:r>
    </w:p>
  </w:footnote>
  <w:footnote w:type="continuationSeparator" w:id="0">
    <w:p w14:paraId="3C79590B" w14:textId="77777777" w:rsidR="00AF1A4D" w:rsidRDefault="00AF1A4D">
      <w:r>
        <w:continuationSeparator/>
      </w:r>
    </w:p>
  </w:footnote>
  <w:footnote w:id="1">
    <w:p w14:paraId="421E2062" w14:textId="77777777" w:rsidR="00FD29E2" w:rsidRDefault="00FD29E2" w:rsidP="00FD29E2">
      <w:pPr>
        <w:pStyle w:val="Textpoznpodarou"/>
        <w:ind w:left="426" w:hanging="426"/>
      </w:pPr>
      <w:r>
        <w:rPr>
          <w:rStyle w:val="Znakapoznpodarou"/>
        </w:rPr>
        <w:t>NP1)</w:t>
      </w:r>
      <w:r>
        <w:tab/>
        <w:t>NÁRODNÍ POZNÁMKA</w:t>
      </w:r>
      <w:r>
        <w:t> </w:t>
      </w:r>
      <w:r>
        <w:t>Tato oprava již byla provedena při překladu ČSN EN 302-3:2004.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C5002" w14:textId="77777777" w:rsidR="00F34746" w:rsidRDefault="00000000">
    <w:pPr>
      <w:pStyle w:val="Zhlav"/>
    </w:pPr>
    <w:r>
      <w:rPr>
        <w:noProof/>
      </w:rPr>
      <w:pict w14:anchorId="3F7FBDB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864928" o:spid="_x0000_s1028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F232A" w14:textId="77777777" w:rsidR="00F34746" w:rsidRDefault="00000000">
    <w:pPr>
      <w:pStyle w:val="Zhlav"/>
      <w:jc w:val="right"/>
    </w:pPr>
    <w:r>
      <w:rPr>
        <w:noProof/>
      </w:rPr>
      <w:pict w14:anchorId="229D9D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864929" o:spid="_x0000_s1029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F1587" w14:textId="77777777" w:rsidR="00BD6144" w:rsidRDefault="00000000">
    <w:pPr>
      <w:pStyle w:val="Zhlav"/>
    </w:pPr>
    <w:r>
      <w:rPr>
        <w:noProof/>
      </w:rPr>
      <w:pict w14:anchorId="13AD1B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864927" o:spid="_x0000_s1027" type="#_x0000_t136" style="position:absolute;left:0;text-align:left;margin-left:0;margin-top:0;width:631.2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F03E8" w14:textId="77777777" w:rsidR="00352AD0" w:rsidRPr="00CA77DE" w:rsidRDefault="00000000" w:rsidP="00CA77DE">
    <w:pPr>
      <w:pStyle w:val="Zhlav"/>
    </w:pPr>
    <w:r>
      <w:rPr>
        <w:noProof/>
      </w:rPr>
      <w:pict w14:anchorId="6517286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864931" o:spid="_x0000_s1031" type="#_x0000_t136" style="position:absolute;left:0;text-align:left;margin-left:0;margin-top:0;width:634.0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487694">
      <w:t>ČSN EN 302-3/</w:t>
    </w:r>
    <w:r w:rsidR="00487694" w:rsidRPr="00703D61">
      <w:t>A1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D7B5B" w14:textId="77777777" w:rsidR="00352AD0" w:rsidRPr="00CA77DE" w:rsidRDefault="00000000" w:rsidP="00CA77DE">
    <w:pPr>
      <w:pStyle w:val="Zhlav"/>
      <w:jc w:val="right"/>
    </w:pPr>
    <w:r>
      <w:rPr>
        <w:noProof/>
      </w:rPr>
      <w:pict w14:anchorId="4475F30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864932" o:spid="_x0000_s1032" type="#_x0000_t136" style="position:absolute;left:0;text-align:left;margin-left:0;margin-top:0;width:631.2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487694">
      <w:t>ČSN EN 302-3/</w:t>
    </w:r>
    <w:r w:rsidR="00487694" w:rsidRPr="00703D61">
      <w:t>A1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B24DC" w14:textId="77777777" w:rsidR="00BD6144" w:rsidRDefault="00000000">
    <w:pPr>
      <w:pStyle w:val="Zhlav"/>
    </w:pPr>
    <w:r>
      <w:rPr>
        <w:noProof/>
      </w:rPr>
      <w:pict w14:anchorId="7BFA08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864930" o:spid="_x0000_s1030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021925800">
    <w:abstractNumId w:val="17"/>
  </w:num>
  <w:num w:numId="2" w16cid:durableId="470950921">
    <w:abstractNumId w:val="14"/>
  </w:num>
  <w:num w:numId="3" w16cid:durableId="5180694">
    <w:abstractNumId w:val="15"/>
  </w:num>
  <w:num w:numId="4" w16cid:durableId="1911693371">
    <w:abstractNumId w:val="9"/>
  </w:num>
  <w:num w:numId="5" w16cid:durableId="490410387">
    <w:abstractNumId w:val="10"/>
  </w:num>
  <w:num w:numId="6" w16cid:durableId="1568686542">
    <w:abstractNumId w:val="20"/>
    <w:lvlOverride w:ilvl="0">
      <w:startOverride w:val="1"/>
    </w:lvlOverride>
  </w:num>
  <w:num w:numId="7" w16cid:durableId="1067992400">
    <w:abstractNumId w:val="11"/>
  </w:num>
  <w:num w:numId="8" w16cid:durableId="2073503994">
    <w:abstractNumId w:val="16"/>
  </w:num>
  <w:num w:numId="9" w16cid:durableId="471870594">
    <w:abstractNumId w:val="10"/>
    <w:lvlOverride w:ilvl="0">
      <w:startOverride w:val="1"/>
    </w:lvlOverride>
  </w:num>
  <w:num w:numId="10" w16cid:durableId="1982348283">
    <w:abstractNumId w:val="20"/>
  </w:num>
  <w:num w:numId="11" w16cid:durableId="903177146">
    <w:abstractNumId w:val="13"/>
  </w:num>
  <w:num w:numId="12" w16cid:durableId="555044062">
    <w:abstractNumId w:val="12"/>
  </w:num>
  <w:num w:numId="13" w16cid:durableId="2117217065">
    <w:abstractNumId w:val="0"/>
  </w:num>
  <w:num w:numId="14" w16cid:durableId="1824083505">
    <w:abstractNumId w:val="1"/>
  </w:num>
  <w:num w:numId="15" w16cid:durableId="763914410">
    <w:abstractNumId w:val="3"/>
  </w:num>
  <w:num w:numId="16" w16cid:durableId="595097911">
    <w:abstractNumId w:val="2"/>
  </w:num>
  <w:num w:numId="17" w16cid:durableId="1091699870">
    <w:abstractNumId w:val="8"/>
  </w:num>
  <w:num w:numId="18" w16cid:durableId="1179392834">
    <w:abstractNumId w:val="7"/>
  </w:num>
  <w:num w:numId="19" w16cid:durableId="1523975920">
    <w:abstractNumId w:val="6"/>
  </w:num>
  <w:num w:numId="20" w16cid:durableId="914970577">
    <w:abstractNumId w:val="5"/>
  </w:num>
  <w:num w:numId="21" w16cid:durableId="782186922">
    <w:abstractNumId w:val="4"/>
  </w:num>
  <w:num w:numId="22" w16cid:durableId="1519544287">
    <w:abstractNumId w:val="18"/>
  </w:num>
  <w:num w:numId="23" w16cid:durableId="317655492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B7D"/>
    <w:rsid w:val="000A1815"/>
    <w:rsid w:val="000D22A5"/>
    <w:rsid w:val="000D7198"/>
    <w:rsid w:val="000D7CC4"/>
    <w:rsid w:val="00103F06"/>
    <w:rsid w:val="00104C1B"/>
    <w:rsid w:val="0013039D"/>
    <w:rsid w:val="00130B44"/>
    <w:rsid w:val="00135415"/>
    <w:rsid w:val="001567EF"/>
    <w:rsid w:val="00157EA6"/>
    <w:rsid w:val="00194A2B"/>
    <w:rsid w:val="001B1B5E"/>
    <w:rsid w:val="001B63E7"/>
    <w:rsid w:val="00210AAE"/>
    <w:rsid w:val="00231D91"/>
    <w:rsid w:val="0028489E"/>
    <w:rsid w:val="002B25EE"/>
    <w:rsid w:val="002D43DF"/>
    <w:rsid w:val="002F6A9A"/>
    <w:rsid w:val="00314F2D"/>
    <w:rsid w:val="00320B7D"/>
    <w:rsid w:val="00325305"/>
    <w:rsid w:val="00342659"/>
    <w:rsid w:val="00352AD0"/>
    <w:rsid w:val="0038646B"/>
    <w:rsid w:val="003B0D08"/>
    <w:rsid w:val="003C3FA4"/>
    <w:rsid w:val="003D6509"/>
    <w:rsid w:val="003E7F3A"/>
    <w:rsid w:val="004069CB"/>
    <w:rsid w:val="00412CB3"/>
    <w:rsid w:val="00415F39"/>
    <w:rsid w:val="00445C34"/>
    <w:rsid w:val="004639BC"/>
    <w:rsid w:val="00470A4E"/>
    <w:rsid w:val="00487694"/>
    <w:rsid w:val="004A39D1"/>
    <w:rsid w:val="004B223B"/>
    <w:rsid w:val="004B77D5"/>
    <w:rsid w:val="004C5D55"/>
    <w:rsid w:val="004D39AA"/>
    <w:rsid w:val="00503D98"/>
    <w:rsid w:val="00535EDB"/>
    <w:rsid w:val="00572AB4"/>
    <w:rsid w:val="00576ED5"/>
    <w:rsid w:val="005E3B21"/>
    <w:rsid w:val="005E6EAE"/>
    <w:rsid w:val="006436F4"/>
    <w:rsid w:val="00651715"/>
    <w:rsid w:val="00690B27"/>
    <w:rsid w:val="006A3382"/>
    <w:rsid w:val="006B04C9"/>
    <w:rsid w:val="006B6EF0"/>
    <w:rsid w:val="006D2485"/>
    <w:rsid w:val="00725D19"/>
    <w:rsid w:val="00734D06"/>
    <w:rsid w:val="007C3D4F"/>
    <w:rsid w:val="007E23F0"/>
    <w:rsid w:val="007F27A2"/>
    <w:rsid w:val="007F6461"/>
    <w:rsid w:val="007F77A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610C5"/>
    <w:rsid w:val="00970283"/>
    <w:rsid w:val="00993BB3"/>
    <w:rsid w:val="009E1EA5"/>
    <w:rsid w:val="009F2E2E"/>
    <w:rsid w:val="00A1232F"/>
    <w:rsid w:val="00A12852"/>
    <w:rsid w:val="00A3019F"/>
    <w:rsid w:val="00A61464"/>
    <w:rsid w:val="00A83EAB"/>
    <w:rsid w:val="00A848B2"/>
    <w:rsid w:val="00A90C34"/>
    <w:rsid w:val="00AB15EC"/>
    <w:rsid w:val="00AE0C39"/>
    <w:rsid w:val="00AF1A4D"/>
    <w:rsid w:val="00B16C52"/>
    <w:rsid w:val="00BA55D2"/>
    <w:rsid w:val="00BB7770"/>
    <w:rsid w:val="00BC1FDE"/>
    <w:rsid w:val="00BD6144"/>
    <w:rsid w:val="00C02CD7"/>
    <w:rsid w:val="00C2107C"/>
    <w:rsid w:val="00C43BC8"/>
    <w:rsid w:val="00C904AB"/>
    <w:rsid w:val="00CB2850"/>
    <w:rsid w:val="00D53D67"/>
    <w:rsid w:val="00D54402"/>
    <w:rsid w:val="00D64213"/>
    <w:rsid w:val="00D85849"/>
    <w:rsid w:val="00DA1989"/>
    <w:rsid w:val="00DE2529"/>
    <w:rsid w:val="00DE412B"/>
    <w:rsid w:val="00E22981"/>
    <w:rsid w:val="00E31389"/>
    <w:rsid w:val="00E54908"/>
    <w:rsid w:val="00E65ADC"/>
    <w:rsid w:val="00EB1FEE"/>
    <w:rsid w:val="00EF31C6"/>
    <w:rsid w:val="00F34746"/>
    <w:rsid w:val="00F415E7"/>
    <w:rsid w:val="00F74691"/>
    <w:rsid w:val="00FD2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433D92AD"/>
  <w15:chartTrackingRefBased/>
  <w15:docId w15:val="{2AAF05FF-5489-4668-A4B4-6B2E1311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130B44"/>
  </w:style>
  <w:style w:type="paragraph" w:styleId="Nadpis1">
    <w:name w:val="heading 1"/>
    <w:basedOn w:val="Nadpiskapitoly"/>
    <w:next w:val="Textnormy"/>
    <w:link w:val="Nadpis1Char"/>
    <w:qFormat/>
    <w:rsid w:val="00130B44"/>
    <w:pPr>
      <w:outlineLvl w:val="0"/>
    </w:pPr>
  </w:style>
  <w:style w:type="paragraph" w:styleId="Nadpis2">
    <w:name w:val="heading 2"/>
    <w:basedOn w:val="Nadpislnku"/>
    <w:next w:val="Textnormy"/>
    <w:qFormat/>
    <w:rsid w:val="00130B44"/>
    <w:pPr>
      <w:outlineLvl w:val="1"/>
    </w:pPr>
  </w:style>
  <w:style w:type="paragraph" w:styleId="Nadpis3">
    <w:name w:val="heading 3"/>
    <w:basedOn w:val="Nadpislnku"/>
    <w:next w:val="Textnormy"/>
    <w:qFormat/>
    <w:rsid w:val="00130B44"/>
    <w:pPr>
      <w:outlineLvl w:val="2"/>
    </w:pPr>
  </w:style>
  <w:style w:type="paragraph" w:styleId="Nadpis4">
    <w:name w:val="heading 4"/>
    <w:basedOn w:val="Nadpislnku"/>
    <w:next w:val="Textnormy"/>
    <w:qFormat/>
    <w:rsid w:val="00130B44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130B44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130B44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130B44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130B44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130B44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130B44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130B44"/>
  </w:style>
  <w:style w:type="paragraph" w:customStyle="1" w:styleId="Nadpiskapitoly">
    <w:name w:val="Nadpis kapitoly"/>
    <w:basedOn w:val="Nadpislnku"/>
    <w:next w:val="Textnormy"/>
    <w:link w:val="NadpiskapitolyChar"/>
    <w:rsid w:val="00130B44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130B44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130B44"/>
    <w:pPr>
      <w:spacing w:after="120"/>
      <w:jc w:val="both"/>
    </w:pPr>
  </w:style>
  <w:style w:type="paragraph" w:customStyle="1" w:styleId="1StrTrZn">
    <w:name w:val="1StrTrZn"/>
    <w:basedOn w:val="Textnormy"/>
    <w:rsid w:val="00130B44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130B44"/>
    <w:pPr>
      <w:spacing w:before="480"/>
    </w:pPr>
  </w:style>
  <w:style w:type="paragraph" w:customStyle="1" w:styleId="1StrNN-1-23">
    <w:name w:val="1StrNN-1-23"/>
    <w:basedOn w:val="Textnormy"/>
    <w:rsid w:val="00130B44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130B44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130B44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130B44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130B44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130B44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130B44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130B44"/>
    <w:pPr>
      <w:spacing w:before="0" w:after="120"/>
      <w:ind w:left="284" w:hanging="284"/>
    </w:pPr>
  </w:style>
  <w:style w:type="paragraph" w:styleId="Zhlav">
    <w:name w:val="header"/>
    <w:basedOn w:val="Textnormy"/>
    <w:rsid w:val="00130B44"/>
    <w:pPr>
      <w:spacing w:after="360"/>
    </w:pPr>
    <w:rPr>
      <w:sz w:val="18"/>
    </w:rPr>
  </w:style>
  <w:style w:type="paragraph" w:styleId="Zpat">
    <w:name w:val="footer"/>
    <w:basedOn w:val="Textnormy"/>
    <w:rsid w:val="00130B44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130B44"/>
    <w:pPr>
      <w:spacing w:after="120"/>
    </w:pPr>
  </w:style>
  <w:style w:type="paragraph" w:styleId="Obsah2">
    <w:name w:val="toc 2"/>
    <w:basedOn w:val="Obsah1"/>
    <w:next w:val="Textnormy"/>
    <w:uiPriority w:val="39"/>
    <w:rsid w:val="00130B44"/>
  </w:style>
  <w:style w:type="paragraph" w:styleId="Obsah1">
    <w:name w:val="toc 1"/>
    <w:basedOn w:val="Textnormy"/>
    <w:next w:val="Textnormy"/>
    <w:uiPriority w:val="39"/>
    <w:rsid w:val="00130B44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130B44"/>
    <w:pPr>
      <w:numPr>
        <w:numId w:val="7"/>
      </w:numPr>
    </w:pPr>
  </w:style>
  <w:style w:type="paragraph" w:styleId="Obsah3">
    <w:name w:val="toc 3"/>
    <w:basedOn w:val="Obsah1"/>
    <w:next w:val="Textnormy"/>
    <w:rsid w:val="00130B44"/>
  </w:style>
  <w:style w:type="paragraph" w:styleId="Obsah4">
    <w:name w:val="toc 4"/>
    <w:basedOn w:val="Obsah1"/>
    <w:next w:val="Textnormy"/>
    <w:uiPriority w:val="39"/>
    <w:rsid w:val="00130B44"/>
  </w:style>
  <w:style w:type="paragraph" w:styleId="Obsah6">
    <w:name w:val="toc 6"/>
    <w:basedOn w:val="Obsah1"/>
    <w:next w:val="Textnormy"/>
    <w:rsid w:val="00130B44"/>
  </w:style>
  <w:style w:type="paragraph" w:styleId="Obsah7">
    <w:name w:val="toc 7"/>
    <w:basedOn w:val="Obsah1"/>
    <w:next w:val="Textnormy"/>
    <w:semiHidden/>
    <w:rsid w:val="00130B44"/>
  </w:style>
  <w:style w:type="paragraph" w:styleId="Obsah8">
    <w:name w:val="toc 8"/>
    <w:basedOn w:val="Obsah1"/>
    <w:next w:val="Textnormy"/>
    <w:semiHidden/>
    <w:rsid w:val="00130B44"/>
  </w:style>
  <w:style w:type="character" w:styleId="Znakapoznpodarou">
    <w:name w:val="footnote reference"/>
    <w:basedOn w:val="Standardnpsmoodstavce"/>
    <w:rsid w:val="00130B44"/>
    <w:rPr>
      <w:vertAlign w:val="superscript"/>
    </w:rPr>
  </w:style>
  <w:style w:type="paragraph" w:customStyle="1" w:styleId="ABCseznamCZ">
    <w:name w:val="ABC seznamCZ"/>
    <w:basedOn w:val="Textnormy"/>
    <w:rsid w:val="00130B44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130B44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130B44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130B44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130B44"/>
    <w:pPr>
      <w:keepNext w:val="0"/>
      <w:jc w:val="center"/>
    </w:pPr>
  </w:style>
  <w:style w:type="paragraph" w:customStyle="1" w:styleId="Abecednseznam">
    <w:name w:val="Abecední seznam"/>
    <w:basedOn w:val="Textnormy"/>
    <w:rsid w:val="00130B44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130B44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130B44"/>
    <w:pPr>
      <w:ind w:left="1600"/>
    </w:pPr>
  </w:style>
  <w:style w:type="paragraph" w:customStyle="1" w:styleId="1Str1Rad">
    <w:name w:val="1Str1Rad"/>
    <w:basedOn w:val="Textnormy"/>
    <w:rsid w:val="00130B44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130B44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130B44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130B44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130B44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130B44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130B44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130B44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130B44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130B44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130B44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130B44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130B44"/>
    <w:pPr>
      <w:spacing w:before="300"/>
    </w:pPr>
  </w:style>
  <w:style w:type="paragraph" w:customStyle="1" w:styleId="1StrNN-X">
    <w:name w:val="1StrNN-X"/>
    <w:basedOn w:val="1StrNN-1-23"/>
    <w:rsid w:val="00130B44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130B44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130B44"/>
    <w:pPr>
      <w:spacing w:before="800"/>
    </w:pPr>
  </w:style>
  <w:style w:type="paragraph" w:customStyle="1" w:styleId="1StrNN-2-4">
    <w:name w:val="1StrNN-2-4"/>
    <w:basedOn w:val="1StrNN-1-23"/>
    <w:rsid w:val="00130B44"/>
  </w:style>
  <w:style w:type="paragraph" w:customStyle="1" w:styleId="1StrNN-3-4">
    <w:name w:val="1StrNN-3-4"/>
    <w:basedOn w:val="1StrNN-1-23"/>
    <w:rsid w:val="00130B44"/>
    <w:pPr>
      <w:spacing w:before="460"/>
    </w:pPr>
  </w:style>
  <w:style w:type="paragraph" w:customStyle="1" w:styleId="1StrNN-4-4">
    <w:name w:val="1StrNN-4-4"/>
    <w:basedOn w:val="1StrNN-1-23"/>
    <w:rsid w:val="00130B44"/>
    <w:pPr>
      <w:spacing w:before="340"/>
    </w:pPr>
  </w:style>
  <w:style w:type="paragraph" w:customStyle="1" w:styleId="ABCSeznamUS">
    <w:name w:val="ABC SeznamUS"/>
    <w:basedOn w:val="Textnormy"/>
    <w:rsid w:val="00130B44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130B44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130B44"/>
    <w:pPr>
      <w:jc w:val="left"/>
    </w:pPr>
  </w:style>
  <w:style w:type="paragraph" w:customStyle="1" w:styleId="1StrNN-4-3">
    <w:name w:val="1StrNN-4-3"/>
    <w:basedOn w:val="1StrNN-1-23"/>
    <w:rsid w:val="00130B44"/>
    <w:pPr>
      <w:spacing w:before="160"/>
    </w:pPr>
  </w:style>
  <w:style w:type="paragraph" w:customStyle="1" w:styleId="Upozornn">
    <w:name w:val="Upozornění"/>
    <w:basedOn w:val="Normln"/>
    <w:rsid w:val="00130B44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130B44"/>
  </w:style>
  <w:style w:type="character" w:styleId="Hypertextovodkaz">
    <w:name w:val="Hyperlink"/>
    <w:unhideWhenUsed/>
    <w:rsid w:val="00130B44"/>
    <w:rPr>
      <w:color w:val="0000FF"/>
      <w:u w:val="single"/>
    </w:rPr>
  </w:style>
  <w:style w:type="table" w:styleId="Mkatabulky">
    <w:name w:val="Table Grid"/>
    <w:basedOn w:val="Normlntabulka"/>
    <w:rsid w:val="00130B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130B44"/>
    <w:rPr>
      <w:b/>
      <w:sz w:val="24"/>
    </w:rPr>
  </w:style>
  <w:style w:type="character" w:styleId="Odkaznakoment">
    <w:name w:val="annotation reference"/>
    <w:basedOn w:val="Standardnpsmoodstavce"/>
    <w:unhideWhenUsed/>
    <w:rsid w:val="00130B44"/>
    <w:rPr>
      <w:sz w:val="16"/>
      <w:szCs w:val="16"/>
    </w:rPr>
  </w:style>
  <w:style w:type="paragraph" w:styleId="Textbubliny">
    <w:name w:val="Balloon Text"/>
    <w:basedOn w:val="Normln"/>
    <w:link w:val="TextbublinyChar"/>
    <w:rsid w:val="00130B4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130B44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130B44"/>
  </w:style>
  <w:style w:type="character" w:customStyle="1" w:styleId="TextkomenteChar">
    <w:name w:val="Text komentáře Char"/>
    <w:basedOn w:val="Standardnpsmoodstavce"/>
    <w:link w:val="Textkomente"/>
    <w:rsid w:val="00130B44"/>
  </w:style>
  <w:style w:type="character" w:customStyle="1" w:styleId="TextnormyCharChar">
    <w:name w:val="Text normy Char Char"/>
    <w:semiHidden/>
    <w:rsid w:val="00130B44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130B44"/>
  </w:style>
  <w:style w:type="character" w:customStyle="1" w:styleId="NadpislnkuChar">
    <w:name w:val="Nadpis článku Char"/>
    <w:link w:val="Nadpislnku"/>
    <w:rsid w:val="00130B44"/>
    <w:rPr>
      <w:b/>
    </w:rPr>
  </w:style>
  <w:style w:type="character" w:customStyle="1" w:styleId="NadpiskapitolyChar">
    <w:name w:val="Nadpis kapitoly Char"/>
    <w:link w:val="Nadpiskapitoly"/>
    <w:rsid w:val="00FD29E2"/>
    <w:rPr>
      <w:b/>
      <w:sz w:val="24"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130B4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130B44"/>
    <w:rPr>
      <w:b/>
      <w:bCs/>
    </w:rPr>
  </w:style>
  <w:style w:type="character" w:styleId="Sledovanodkaz">
    <w:name w:val="FollowedHyperlink"/>
    <w:basedOn w:val="Standardnpsmoodstavce"/>
    <w:semiHidden/>
    <w:unhideWhenUsed/>
    <w:rsid w:val="00130B44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130B44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130B44"/>
    <w:pPr>
      <w:jc w:val="center"/>
    </w:pPr>
  </w:style>
  <w:style w:type="paragraph" w:styleId="Revize">
    <w:name w:val="Revision"/>
    <w:hidden/>
    <w:uiPriority w:val="99"/>
    <w:semiHidden/>
    <w:rsid w:val="00352AD0"/>
  </w:style>
  <w:style w:type="character" w:customStyle="1" w:styleId="cf01">
    <w:name w:val="cf01"/>
    <w:basedOn w:val="Standardnpsmoodstavce"/>
    <w:rsid w:val="00130B4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75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3.emf"/><Relationship Id="rId10" Type="http://schemas.openxmlformats.org/officeDocument/2006/relationships/header" Target="head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5</Pages>
  <Words>1005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6927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4</cp:revision>
  <cp:lastPrinted>2004-12-14T08:45:00Z</cp:lastPrinted>
  <dcterms:created xsi:type="dcterms:W3CDTF">2024-12-12T05:27:00Z</dcterms:created>
  <dcterms:modified xsi:type="dcterms:W3CDTF">2025-02-04T07:52:00Z</dcterms:modified>
</cp:coreProperties>
</file>