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762E0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395B0F31" wp14:editId="7562A0F7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7A33EC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0AF8FFAC" w14:textId="27EC3328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B859CA" w:rsidRPr="000863B2">
        <w:rPr>
          <w:sz w:val="16"/>
        </w:rPr>
        <w:t>97.040.20</w:t>
      </w:r>
      <w:r>
        <w:tab/>
      </w:r>
      <w:r>
        <w:tab/>
      </w:r>
      <w:r>
        <w:rPr>
          <w:b/>
        </w:rPr>
        <w:t xml:space="preserve">Měsíc </w:t>
      </w:r>
      <w:r w:rsidR="00B859CA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55"/>
        <w:gridCol w:w="2268"/>
      </w:tblGrid>
      <w:tr w:rsidR="00A83EAB" w14:paraId="469C704B" w14:textId="77777777" w:rsidTr="00B859CA">
        <w:trPr>
          <w:cantSplit/>
          <w:trHeight w:val="1701"/>
        </w:trPr>
        <w:tc>
          <w:tcPr>
            <w:tcW w:w="7655" w:type="dxa"/>
          </w:tcPr>
          <w:p w14:paraId="0D752A3A" w14:textId="463A96ED" w:rsidR="00A83EAB" w:rsidRDefault="00B859CA" w:rsidP="00B859CA">
            <w:pPr>
              <w:pStyle w:val="1StrNN-3-23"/>
              <w:ind w:right="340"/>
            </w:pPr>
            <w:r w:rsidRPr="000863B2">
              <w:t>Varné spotřebiče na plynná paliva pro domácnost –</w:t>
            </w:r>
            <w:r w:rsidRPr="000863B2">
              <w:br/>
              <w:t>Část 1-3: Bezpečnost – Spotřebiče se sklokeramickou</w:t>
            </w:r>
            <w:r w:rsidRPr="000863B2">
              <w:br/>
              <w:t>varnou deskou</w:t>
            </w:r>
          </w:p>
        </w:tc>
        <w:tc>
          <w:tcPr>
            <w:tcW w:w="2268" w:type="dxa"/>
          </w:tcPr>
          <w:p w14:paraId="48D525CF" w14:textId="77777777" w:rsidR="00B859CA" w:rsidRPr="000863B2" w:rsidRDefault="00B859CA" w:rsidP="00B859CA">
            <w:pPr>
              <w:pStyle w:val="1StrCN"/>
            </w:pPr>
            <w:r w:rsidRPr="000863B2">
              <w:t>ČSN</w:t>
            </w:r>
            <w:r w:rsidRPr="000863B2">
              <w:br/>
              <w:t>EN 30-1-3+A1</w:t>
            </w:r>
            <w:r w:rsidRPr="000863B2">
              <w:br/>
            </w:r>
          </w:p>
          <w:p w14:paraId="05631EAC" w14:textId="341859B4" w:rsidR="00A83EAB" w:rsidRDefault="00B859CA" w:rsidP="00B859CA">
            <w:pPr>
              <w:pStyle w:val="1StrTrZn"/>
            </w:pPr>
            <w:r w:rsidRPr="000863B2">
              <w:t>06 1410</w:t>
            </w:r>
          </w:p>
        </w:tc>
      </w:tr>
    </w:tbl>
    <w:p w14:paraId="7A8CD5D8" w14:textId="77777777" w:rsidR="00A83EAB" w:rsidRDefault="00A83EAB">
      <w:pPr>
        <w:pStyle w:val="Shodnost"/>
      </w:pPr>
    </w:p>
    <w:p w14:paraId="34A8313C" w14:textId="77777777" w:rsidR="00B859CA" w:rsidRPr="000863B2" w:rsidRDefault="00B859CA" w:rsidP="00B859CA">
      <w:pPr>
        <w:pStyle w:val="Cizojazynnzev"/>
        <w:rPr>
          <w:lang w:val="en-US"/>
        </w:rPr>
      </w:pPr>
      <w:r w:rsidRPr="000863B2">
        <w:t xml:space="preserve">Domestic cooking appliances burning gas – </w:t>
      </w:r>
      <w:r>
        <w:br/>
      </w:r>
      <w:r w:rsidRPr="000863B2">
        <w:t xml:space="preserve">Part 1-3: Safety – Appliances </w:t>
      </w:r>
      <w:r w:rsidRPr="000863B2">
        <w:rPr>
          <w:lang w:val="en-US"/>
        </w:rPr>
        <w:t>having a glass ceramic hotplate</w:t>
      </w:r>
    </w:p>
    <w:p w14:paraId="3375A550" w14:textId="77777777" w:rsidR="00B859CA" w:rsidRPr="000863B2" w:rsidRDefault="00B859CA" w:rsidP="00B859CA">
      <w:pPr>
        <w:pStyle w:val="Cizojazynnzev"/>
        <w:rPr>
          <w:lang w:val="fr-FR"/>
        </w:rPr>
      </w:pPr>
      <w:r w:rsidRPr="000863B2">
        <w:rPr>
          <w:lang w:val="fr-FR"/>
        </w:rPr>
        <w:t xml:space="preserve">Appareils de cuisson domestiques utilisant les combustibles gazeux – </w:t>
      </w:r>
      <w:r>
        <w:rPr>
          <w:lang w:val="fr-FR"/>
        </w:rPr>
        <w:br/>
      </w:r>
      <w:r w:rsidRPr="000863B2">
        <w:rPr>
          <w:lang w:val="fr-FR"/>
        </w:rPr>
        <w:t>Partie 1-3: Sécurité – Appareils comportant une table de travail vitrocéramique</w:t>
      </w:r>
    </w:p>
    <w:p w14:paraId="4353B1B9" w14:textId="77777777" w:rsidR="00B859CA" w:rsidRPr="000863B2" w:rsidRDefault="00B859CA" w:rsidP="00B859CA">
      <w:pPr>
        <w:pStyle w:val="Cizojazynnzev"/>
        <w:spacing w:after="840"/>
        <w:rPr>
          <w:lang w:val="de-DE"/>
        </w:rPr>
      </w:pPr>
      <w:r w:rsidRPr="000863B2">
        <w:rPr>
          <w:lang w:val="de-DE"/>
        </w:rPr>
        <w:t xml:space="preserve">Haushalt-Kochgeräte für gasförmige Brennstoffe – </w:t>
      </w:r>
      <w:r>
        <w:rPr>
          <w:lang w:val="de-DE"/>
        </w:rPr>
        <w:br/>
      </w:r>
      <w:r w:rsidRPr="000863B2">
        <w:rPr>
          <w:lang w:val="de-DE"/>
        </w:rPr>
        <w:t>Teil 1-3: Sicherheit – Geräte mit Glaskeramik-Kochteil</w:t>
      </w:r>
    </w:p>
    <w:p w14:paraId="7CD5E0DE" w14:textId="77777777" w:rsidR="00B859CA" w:rsidRPr="000863B2" w:rsidRDefault="00B859CA" w:rsidP="00B859CA">
      <w:pPr>
        <w:pStyle w:val="Textnormy"/>
      </w:pPr>
      <w:r w:rsidRPr="000863B2">
        <w:t>Tato norma je českou verzí evropské normy EN 30-1-3:20</w:t>
      </w:r>
      <w:r>
        <w:t>1</w:t>
      </w:r>
      <w:r w:rsidRPr="000863B2">
        <w:t>3+A1:2</w:t>
      </w:r>
      <w:r>
        <w:t>020</w:t>
      </w:r>
      <w:r w:rsidRPr="000863B2">
        <w:t xml:space="preserve">. Překlad byl zajištěn </w:t>
      </w:r>
      <w:r>
        <w:t>Českou agenturou pro standardizaci</w:t>
      </w:r>
      <w:r w:rsidRPr="000863B2">
        <w:t>. Má stejný status jako oficiální verze.</w:t>
      </w:r>
    </w:p>
    <w:p w14:paraId="34209C9C" w14:textId="77777777" w:rsidR="00B859CA" w:rsidRPr="000863B2" w:rsidRDefault="00B859CA" w:rsidP="00B859CA">
      <w:pPr>
        <w:pStyle w:val="Textnormy"/>
        <w:rPr>
          <w:lang w:val="en-GB"/>
        </w:rPr>
      </w:pPr>
      <w:r w:rsidRPr="000863B2">
        <w:rPr>
          <w:lang w:val="en-GB"/>
        </w:rPr>
        <w:t xml:space="preserve">This standard </w:t>
      </w:r>
      <w:r w:rsidRPr="000863B2">
        <w:rPr>
          <w:spacing w:val="-7"/>
          <w:lang w:val="en-GB"/>
        </w:rPr>
        <w:t xml:space="preserve">is the Czech </w:t>
      </w:r>
      <w:r w:rsidRPr="000863B2">
        <w:rPr>
          <w:lang w:val="en-GB"/>
        </w:rPr>
        <w:t>version of the European Standard EN </w:t>
      </w:r>
      <w:r w:rsidRPr="000863B2">
        <w:t>30-1-3:20</w:t>
      </w:r>
      <w:r>
        <w:t>1</w:t>
      </w:r>
      <w:r w:rsidRPr="000863B2">
        <w:t>3+A1:20</w:t>
      </w:r>
      <w:r>
        <w:t>20</w:t>
      </w:r>
      <w:r w:rsidRPr="000863B2">
        <w:rPr>
          <w:lang w:val="en-GB"/>
        </w:rPr>
        <w:t xml:space="preserve">. It was translated by </w:t>
      </w:r>
      <w:r w:rsidRPr="00AC0FA5">
        <w:t xml:space="preserve">the </w:t>
      </w:r>
      <w:r w:rsidRPr="00941B8E">
        <w:rPr>
          <w:rFonts w:cs="Arial"/>
        </w:rPr>
        <w:t>Czech Standardization Agency</w:t>
      </w:r>
      <w:r w:rsidRPr="000863B2">
        <w:rPr>
          <w:lang w:val="en-GB"/>
        </w:rPr>
        <w:t>. It has the same status as the official version.</w:t>
      </w:r>
    </w:p>
    <w:p w14:paraId="6224DF2B" w14:textId="77777777" w:rsidR="00B859CA" w:rsidRPr="000863B2" w:rsidRDefault="00B859CA" w:rsidP="00B859CA">
      <w:pPr>
        <w:pStyle w:val="Nadpislnku"/>
      </w:pPr>
      <w:r w:rsidRPr="000863B2">
        <w:t>Nahrazení předchozích norem</w:t>
      </w:r>
    </w:p>
    <w:p w14:paraId="07F4AF31" w14:textId="3B924DF0" w:rsidR="00A83EAB" w:rsidRDefault="00B859CA" w:rsidP="00B859CA">
      <w:pPr>
        <w:pStyle w:val="Textnormy"/>
      </w:pPr>
      <w:r w:rsidRPr="000863B2">
        <w:t>Touto normou se nahrazuje ČSN EN 30-1-3 (06 1410) z dubna 2004.</w:t>
      </w:r>
    </w:p>
    <w:p w14:paraId="5F54E6D8" w14:textId="77777777" w:rsidR="00A83EAB" w:rsidRDefault="00A83EAB">
      <w:pPr>
        <w:pStyle w:val="Textnormy"/>
        <w:tabs>
          <w:tab w:val="right" w:pos="9923"/>
        </w:tabs>
      </w:pPr>
    </w:p>
    <w:p w14:paraId="5728D73E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05089F23" w14:textId="77777777" w:rsidR="00B859CA" w:rsidRPr="000863B2" w:rsidRDefault="00B859CA" w:rsidP="00B859CA">
      <w:pPr>
        <w:pStyle w:val="Nadpiskapitoly"/>
        <w:spacing w:before="0"/>
      </w:pPr>
      <w:r w:rsidRPr="000863B2">
        <w:lastRenderedPageBreak/>
        <w:t>Národní předmluva</w:t>
      </w:r>
    </w:p>
    <w:p w14:paraId="36CDC633" w14:textId="77777777" w:rsidR="00B859CA" w:rsidRPr="000863B2" w:rsidRDefault="00B859CA" w:rsidP="00B859CA">
      <w:pPr>
        <w:pStyle w:val="Nadpislnku"/>
      </w:pPr>
      <w:r w:rsidRPr="000863B2">
        <w:t>Změny proti předchozí norm</w:t>
      </w:r>
      <w:r>
        <w:t>ě</w:t>
      </w:r>
    </w:p>
    <w:p w14:paraId="0F396D1E" w14:textId="77777777" w:rsidR="00B859CA" w:rsidRPr="000863B2" w:rsidRDefault="00B859CA" w:rsidP="00B859CA">
      <w:pPr>
        <w:pStyle w:val="Textnormy"/>
        <w:rPr>
          <w:rFonts w:cs="Arial"/>
        </w:rPr>
      </w:pPr>
      <w:r w:rsidRPr="000863B2">
        <w:t>Tato norma obsahuje zapracovanou změnu A1 z</w:t>
      </w:r>
      <w:r>
        <w:t>e</w:t>
      </w:r>
      <w:r w:rsidRPr="000863B2">
        <w:t> </w:t>
      </w:r>
      <w:r>
        <w:t>září</w:t>
      </w:r>
      <w:r w:rsidRPr="000863B2">
        <w:t xml:space="preserve"> 20</w:t>
      </w:r>
      <w:r>
        <w:t>20</w:t>
      </w:r>
      <w:r w:rsidRPr="000863B2">
        <w:t xml:space="preserve">. Změny či doplněné a upravené články jsou v textu vyznačeny </w:t>
      </w:r>
      <w:proofErr w:type="gramStart"/>
      <w:r w:rsidRPr="000863B2">
        <w:t xml:space="preserve">značkami </w:t>
      </w:r>
      <w:r w:rsidRPr="000863B2">
        <w:rPr>
          <w:rFonts w:ascii="BSsymb9" w:hAnsi="BSsymb9"/>
        </w:rPr>
        <w:t>!</w:t>
      </w:r>
      <w:proofErr w:type="gramEnd"/>
      <w:r w:rsidRPr="000863B2">
        <w:rPr>
          <w:rFonts w:cs="Arial"/>
        </w:rPr>
        <w:t> </w:t>
      </w:r>
      <w:r w:rsidRPr="000863B2">
        <w:rPr>
          <w:rFonts w:ascii="BSsymb9" w:hAnsi="BSsymb9"/>
        </w:rPr>
        <w:t>"</w:t>
      </w:r>
      <w:r w:rsidRPr="000863B2">
        <w:t>. Vypuštěný text je zobrazen takto „</w:t>
      </w:r>
      <w:r w:rsidRPr="000863B2">
        <w:rPr>
          <w:rFonts w:ascii="BSsymb9" w:hAnsi="BSsymb9"/>
        </w:rPr>
        <w:t>!</w:t>
      </w:r>
      <w:r w:rsidRPr="000863B2">
        <w:rPr>
          <w:rFonts w:cs="Arial"/>
          <w:i/>
        </w:rPr>
        <w:t> vypuštěný text</w:t>
      </w:r>
      <w:r w:rsidRPr="000863B2">
        <w:rPr>
          <w:rFonts w:cs="Arial"/>
        </w:rPr>
        <w:t> </w:t>
      </w:r>
      <w:r w:rsidRPr="000863B2">
        <w:rPr>
          <w:rFonts w:ascii="BSsymb9" w:hAnsi="BSsymb9"/>
        </w:rPr>
        <w:t>"</w:t>
      </w:r>
      <w:r w:rsidRPr="000863B2">
        <w:rPr>
          <w:rFonts w:cs="Arial"/>
        </w:rPr>
        <w:t>“, opravený nebo nový text je zobrazen vloženým textem mezi obě značky.</w:t>
      </w:r>
    </w:p>
    <w:p w14:paraId="291BE287" w14:textId="77777777" w:rsidR="00B859CA" w:rsidRPr="000863B2" w:rsidRDefault="00B859CA" w:rsidP="00B859CA">
      <w:pPr>
        <w:pStyle w:val="Nadpislnku"/>
      </w:pPr>
      <w:r w:rsidRPr="000863B2">
        <w:t>Informace o citovaných dokumentech</w:t>
      </w:r>
    </w:p>
    <w:p w14:paraId="2DCE2B96" w14:textId="77777777" w:rsidR="00B859CA" w:rsidRPr="000863B2" w:rsidRDefault="00B859CA" w:rsidP="00B859CA">
      <w:pPr>
        <w:pStyle w:val="Textnormy"/>
        <w:rPr>
          <w:snapToGrid w:val="0"/>
        </w:rPr>
      </w:pPr>
      <w:r w:rsidRPr="000863B2">
        <w:t>EN 30-1-1:1998</w:t>
      </w:r>
      <w:r w:rsidRPr="000863B2">
        <w:t> </w:t>
      </w:r>
      <w:r w:rsidRPr="000863B2">
        <w:t>zavedena v ČSN EN 30-1-1:1999</w:t>
      </w:r>
      <w:r w:rsidRPr="000863B2">
        <w:rPr>
          <w:snapToGrid w:val="0"/>
        </w:rPr>
        <w:t xml:space="preserve"> (06 1410) Varné spotřebiče na plynná paliva pro domácnost – Část 1-1: Všeobecné požadavky na bezpečnost</w:t>
      </w:r>
    </w:p>
    <w:p w14:paraId="596AEB76" w14:textId="77777777" w:rsidR="00B859CA" w:rsidRDefault="00B859CA" w:rsidP="00B859CA">
      <w:pPr>
        <w:pStyle w:val="Textnormy"/>
      </w:pPr>
      <w:r w:rsidRPr="000863B2">
        <w:t>EN 30-1-4:2002</w:t>
      </w:r>
      <w:r w:rsidRPr="000863B2">
        <w:t> </w:t>
      </w:r>
      <w:r w:rsidRPr="000863B2">
        <w:t>zavedena v ČSN EN 30-1-4:2003 (06 1410) Varné spotřebiče na plynná paliva pro domácnost – Část</w:t>
      </w:r>
      <w:r>
        <w:t> </w:t>
      </w:r>
      <w:r w:rsidRPr="000863B2">
        <w:t>1-4: Bezpečnost – Spotřebiče s hořákem nebo více hořáky s</w:t>
      </w:r>
      <w:r>
        <w:t> </w:t>
      </w:r>
      <w:r w:rsidRPr="000863B2">
        <w:t>automatikou</w:t>
      </w:r>
    </w:p>
    <w:p w14:paraId="75D80321" w14:textId="77777777" w:rsidR="00B859CA" w:rsidRPr="000863B2" w:rsidRDefault="00B859CA" w:rsidP="00B859CA">
      <w:pPr>
        <w:pStyle w:val="Textnormy"/>
      </w:pPr>
      <w:r>
        <w:t>EN 498</w:t>
      </w:r>
      <w:r w:rsidRPr="000863B2">
        <w:t> </w:t>
      </w:r>
      <w:r>
        <w:t>zavedena v ČSN EN 498 ed. 2 (06 1454) specifikace pro spotřebiče spalující zkapalněné uhlovodíkové plyny – Rožně pro venkovní použití včetně kontaktních grilů</w:t>
      </w:r>
    </w:p>
    <w:p w14:paraId="7AFCED17" w14:textId="77777777" w:rsidR="00B859CA" w:rsidRDefault="00B859CA" w:rsidP="00B859CA">
      <w:pPr>
        <w:pStyle w:val="Textnormy"/>
      </w:pPr>
      <w:r>
        <w:t xml:space="preserve">EN 437:2003+A1:2009 zavedena v ČSN EN 437+A1:2009 (06 1001) </w:t>
      </w:r>
      <w:r w:rsidRPr="007631D9">
        <w:t xml:space="preserve">Zkušební plyny </w:t>
      </w:r>
      <w:r w:rsidRPr="000863B2">
        <w:t>–</w:t>
      </w:r>
      <w:r w:rsidRPr="007631D9">
        <w:t xml:space="preserve"> Zkušební přetlaky </w:t>
      </w:r>
      <w:r w:rsidRPr="000863B2">
        <w:t>–</w:t>
      </w:r>
      <w:r w:rsidRPr="007631D9">
        <w:t xml:space="preserve"> Kategorie spotřebičů</w:t>
      </w:r>
    </w:p>
    <w:p w14:paraId="54207EF8" w14:textId="77777777" w:rsidR="00B859CA" w:rsidRDefault="00B859CA" w:rsidP="00B859CA">
      <w:pPr>
        <w:pStyle w:val="Textnormy"/>
      </w:pPr>
      <w:r w:rsidRPr="000863B2">
        <w:t>EN 60068-2-75</w:t>
      </w:r>
      <w:r w:rsidRPr="000863B2">
        <w:t> </w:t>
      </w:r>
      <w:r w:rsidRPr="000863B2">
        <w:t>zavedena v ČSN EN 60068-2-75 (34 5791) Zkoušení vlivů prostředí – Část</w:t>
      </w:r>
      <w:r>
        <w:t> </w:t>
      </w:r>
      <w:r w:rsidRPr="000863B2">
        <w:t>2: Zkoušky – Zkouška Eh: Zkoušky kladivem (paličkou, pružinovým přístrojem a svislým kladivem)</w:t>
      </w:r>
    </w:p>
    <w:p w14:paraId="7DB3D46B" w14:textId="77777777" w:rsidR="00B859CA" w:rsidRPr="000863B2" w:rsidRDefault="00B859CA" w:rsidP="00B859CA">
      <w:pPr>
        <w:pStyle w:val="Textnormy"/>
      </w:pPr>
      <w:r>
        <w:t>EN 60335-2-6:1999</w:t>
      </w:r>
      <w:r>
        <w:t> </w:t>
      </w:r>
      <w:r w:rsidRPr="00EA545D">
        <w:t>ne</w:t>
      </w:r>
      <w:r w:rsidRPr="000863B2">
        <w:t>zavedena</w:t>
      </w:r>
      <w:r>
        <w:rPr>
          <w:rStyle w:val="Znakapoznpodarou"/>
        </w:rPr>
        <w:footnoteReference w:customMarkFollows="1" w:id="1"/>
        <w:t>1)</w:t>
      </w:r>
      <w:r w:rsidRPr="000863B2">
        <w:t xml:space="preserve"> </w:t>
      </w:r>
    </w:p>
    <w:p w14:paraId="76E91563" w14:textId="77777777" w:rsidR="00B859CA" w:rsidRPr="000863B2" w:rsidRDefault="00B859CA" w:rsidP="00B859CA">
      <w:pPr>
        <w:pStyle w:val="Nadpislnku"/>
      </w:pPr>
      <w:r w:rsidRPr="000863B2">
        <w:t>Souvisící ČSN</w:t>
      </w:r>
    </w:p>
    <w:p w14:paraId="66E6755E" w14:textId="77777777" w:rsidR="00B859CA" w:rsidRPr="000863B2" w:rsidRDefault="00B859CA" w:rsidP="00B859CA">
      <w:pPr>
        <w:pStyle w:val="Textnormy"/>
        <w:rPr>
          <w:snapToGrid w:val="0"/>
        </w:rPr>
      </w:pPr>
      <w:r w:rsidRPr="000863B2">
        <w:rPr>
          <w:snapToGrid w:val="0"/>
        </w:rPr>
        <w:t>ČSN</w:t>
      </w:r>
      <w:r>
        <w:rPr>
          <w:snapToGrid w:val="0"/>
        </w:rPr>
        <w:t> </w:t>
      </w:r>
      <w:r w:rsidRPr="000863B2">
        <w:rPr>
          <w:snapToGrid w:val="0"/>
        </w:rPr>
        <w:t>ISO</w:t>
      </w:r>
      <w:r>
        <w:rPr>
          <w:snapToGrid w:val="0"/>
        </w:rPr>
        <w:t xml:space="preserve"> </w:t>
      </w:r>
      <w:r w:rsidRPr="000863B2">
        <w:rPr>
          <w:snapToGrid w:val="0"/>
        </w:rPr>
        <w:t>1000 (01</w:t>
      </w:r>
      <w:r>
        <w:rPr>
          <w:snapToGrid w:val="0"/>
        </w:rPr>
        <w:t> </w:t>
      </w:r>
      <w:r w:rsidRPr="000863B2">
        <w:rPr>
          <w:snapToGrid w:val="0"/>
        </w:rPr>
        <w:t>1301)</w:t>
      </w:r>
      <w:r w:rsidRPr="000863B2">
        <w:rPr>
          <w:rFonts w:ascii="Arial Unicode MS" w:eastAsia="Arial Unicode MS" w:hAnsi="Arial Unicode MS" w:cs="Arial Unicode MS" w:hint="eastAsia"/>
          <w:snapToGrid w:val="0"/>
        </w:rPr>
        <w:t> </w:t>
      </w:r>
      <w:r w:rsidRPr="000863B2">
        <w:rPr>
          <w:snapToGrid w:val="0"/>
        </w:rPr>
        <w:t>Jednotky SI a doporučení pro užívání jejich násobků a pro užívání některých dalších jednotek</w:t>
      </w:r>
    </w:p>
    <w:p w14:paraId="32318179" w14:textId="77777777" w:rsidR="00B859CA" w:rsidRPr="000863B2" w:rsidRDefault="00B859CA" w:rsidP="00B859CA">
      <w:pPr>
        <w:pStyle w:val="Textnormy"/>
        <w:rPr>
          <w:snapToGrid w:val="0"/>
        </w:rPr>
      </w:pPr>
      <w:r w:rsidRPr="000863B2">
        <w:rPr>
          <w:snapToGrid w:val="0"/>
        </w:rPr>
        <w:t>ČSN</w:t>
      </w:r>
      <w:r>
        <w:rPr>
          <w:snapToGrid w:val="0"/>
        </w:rPr>
        <w:t> </w:t>
      </w:r>
      <w:r w:rsidRPr="000863B2">
        <w:rPr>
          <w:snapToGrid w:val="0"/>
        </w:rPr>
        <w:t>06</w:t>
      </w:r>
      <w:r>
        <w:rPr>
          <w:snapToGrid w:val="0"/>
        </w:rPr>
        <w:t> </w:t>
      </w:r>
      <w:r w:rsidRPr="000863B2">
        <w:rPr>
          <w:snapToGrid w:val="0"/>
        </w:rPr>
        <w:t>1000</w:t>
      </w:r>
      <w:r w:rsidRPr="000863B2">
        <w:rPr>
          <w:rFonts w:ascii="Arial Unicode MS" w:eastAsia="Arial Unicode MS" w:hAnsi="Arial Unicode MS" w:cs="Arial Unicode MS" w:hint="eastAsia"/>
          <w:snapToGrid w:val="0"/>
        </w:rPr>
        <w:t> </w:t>
      </w:r>
      <w:r w:rsidRPr="000863B2">
        <w:rPr>
          <w:snapToGrid w:val="0"/>
        </w:rPr>
        <w:t>Lokální spotřebiče pevných, kapalných a plynných paliv – Termíny a definice</w:t>
      </w:r>
    </w:p>
    <w:p w14:paraId="3040CF22" w14:textId="77777777" w:rsidR="00B859CA" w:rsidRPr="000863B2" w:rsidRDefault="00B859CA" w:rsidP="00B859CA">
      <w:pPr>
        <w:pStyle w:val="Textnormy"/>
        <w:rPr>
          <w:snapToGrid w:val="0"/>
        </w:rPr>
      </w:pPr>
      <w:r w:rsidRPr="000863B2">
        <w:rPr>
          <w:snapToGrid w:val="0"/>
        </w:rPr>
        <w:t>ČSN</w:t>
      </w:r>
      <w:r>
        <w:rPr>
          <w:snapToGrid w:val="0"/>
        </w:rPr>
        <w:t> </w:t>
      </w:r>
      <w:r w:rsidRPr="000863B2">
        <w:rPr>
          <w:snapToGrid w:val="0"/>
        </w:rPr>
        <w:t>EN</w:t>
      </w:r>
      <w:r>
        <w:rPr>
          <w:snapToGrid w:val="0"/>
        </w:rPr>
        <w:t> </w:t>
      </w:r>
      <w:r w:rsidRPr="000863B2">
        <w:rPr>
          <w:snapToGrid w:val="0"/>
        </w:rPr>
        <w:t>676 (07</w:t>
      </w:r>
      <w:r>
        <w:rPr>
          <w:snapToGrid w:val="0"/>
        </w:rPr>
        <w:t> </w:t>
      </w:r>
      <w:r w:rsidRPr="000863B2">
        <w:rPr>
          <w:snapToGrid w:val="0"/>
        </w:rPr>
        <w:t>5802)</w:t>
      </w:r>
      <w:r w:rsidRPr="000863B2">
        <w:rPr>
          <w:rFonts w:ascii="Arial Unicode MS" w:eastAsia="Arial Unicode MS" w:hAnsi="Arial Unicode MS" w:cs="Arial Unicode MS" w:hint="eastAsia"/>
          <w:snapToGrid w:val="0"/>
        </w:rPr>
        <w:t> </w:t>
      </w:r>
      <w:r w:rsidRPr="000863B2">
        <w:rPr>
          <w:snapToGrid w:val="0"/>
        </w:rPr>
        <w:t>Hořáky na plynná paliva s ventilátorem a s automatickým řízením</w:t>
      </w:r>
    </w:p>
    <w:p w14:paraId="41570C77" w14:textId="77777777" w:rsidR="00B859CA" w:rsidRDefault="00B859CA" w:rsidP="00B859CA">
      <w:pPr>
        <w:pStyle w:val="Textnormy"/>
        <w:rPr>
          <w:snapToGrid w:val="0"/>
        </w:rPr>
      </w:pPr>
      <w:r w:rsidRPr="000863B2">
        <w:rPr>
          <w:snapToGrid w:val="0"/>
        </w:rPr>
        <w:t>ČSN</w:t>
      </w:r>
      <w:r>
        <w:rPr>
          <w:snapToGrid w:val="0"/>
        </w:rPr>
        <w:t> </w:t>
      </w:r>
      <w:r w:rsidRPr="000863B2">
        <w:rPr>
          <w:snapToGrid w:val="0"/>
        </w:rPr>
        <w:t>EN</w:t>
      </w:r>
      <w:r>
        <w:rPr>
          <w:snapToGrid w:val="0"/>
        </w:rPr>
        <w:t> </w:t>
      </w:r>
      <w:r w:rsidRPr="000863B2">
        <w:rPr>
          <w:snapToGrid w:val="0"/>
        </w:rPr>
        <w:t>1775 (38</w:t>
      </w:r>
      <w:r>
        <w:rPr>
          <w:snapToGrid w:val="0"/>
        </w:rPr>
        <w:t> </w:t>
      </w:r>
      <w:r w:rsidRPr="000863B2">
        <w:rPr>
          <w:snapToGrid w:val="0"/>
        </w:rPr>
        <w:t>6441)</w:t>
      </w:r>
      <w:r w:rsidRPr="000863B2">
        <w:rPr>
          <w:rFonts w:ascii="Arial Unicode MS" w:eastAsia="Arial Unicode MS" w:hAnsi="Arial Unicode MS" w:cs="Arial Unicode MS" w:hint="eastAsia"/>
          <w:snapToGrid w:val="0"/>
        </w:rPr>
        <w:t> </w:t>
      </w:r>
      <w:r w:rsidRPr="000863B2">
        <w:rPr>
          <w:snapToGrid w:val="0"/>
        </w:rPr>
        <w:t xml:space="preserve">Zásobování plynem – Plynovody v budovách – Nejvyšší provozní tlak </w:t>
      </w:r>
      <w:r w:rsidRPr="000863B2">
        <w:rPr>
          <w:snapToGrid w:val="0"/>
        </w:rPr>
        <w:sym w:font="Symbol" w:char="F0A3"/>
      </w:r>
      <w:r w:rsidRPr="000863B2">
        <w:rPr>
          <w:snapToGrid w:val="0"/>
        </w:rPr>
        <w:t> 5</w:t>
      </w:r>
      <w:r>
        <w:rPr>
          <w:snapToGrid w:val="0"/>
        </w:rPr>
        <w:t> </w:t>
      </w:r>
      <w:r w:rsidRPr="000863B2">
        <w:rPr>
          <w:snapToGrid w:val="0"/>
        </w:rPr>
        <w:t>bar –</w:t>
      </w:r>
      <w:r w:rsidRPr="000863B2">
        <w:rPr>
          <w:snapToGrid w:val="0"/>
        </w:rPr>
        <w:br/>
        <w:t>Provozní požadavky</w:t>
      </w:r>
    </w:p>
    <w:p w14:paraId="584FFE92" w14:textId="77777777" w:rsidR="00433D57" w:rsidRPr="00C108C2" w:rsidRDefault="00433D57" w:rsidP="00433D57">
      <w:pPr>
        <w:pStyle w:val="Nadpislnku"/>
      </w:pPr>
      <w:r w:rsidRPr="00C108C2">
        <w:t>Vysvětlivky k textu této normy</w:t>
      </w:r>
    </w:p>
    <w:p w14:paraId="0FE610C4" w14:textId="77777777" w:rsidR="00433D57" w:rsidRDefault="00433D57" w:rsidP="00433D57">
      <w:pPr>
        <w:pStyle w:val="Textnormy"/>
        <w:rPr>
          <w:rFonts w:cs="Arial"/>
        </w:rPr>
      </w:pPr>
      <w:r w:rsidRPr="00C108C2">
        <w:rPr>
          <w:rFonts w:cs="Arial"/>
          <w:spacing w:val="-2"/>
        </w:rPr>
        <w:t>V případě nedatovaných odkazů na evropské/mezinárodní normy jsou ČSN uvedené v článcích „Informace</w:t>
      </w:r>
      <w:r w:rsidRPr="00C108C2">
        <w:rPr>
          <w:rFonts w:cs="Arial"/>
        </w:rPr>
        <w:t xml:space="preserve"> o citovaných dokumentech“ a „Souvisící ČSN“ nejnovějšími vydáními, platnými v době schválení této </w:t>
      </w:r>
      <w:r w:rsidRPr="00C108C2">
        <w:rPr>
          <w:rFonts w:cs="Arial"/>
          <w:spacing w:val="-2"/>
        </w:rPr>
        <w:t>normy. Při používání této normy je třeba vždy použít taková vydání ČSN, která přejímají nejnovější vydání</w:t>
      </w:r>
      <w:r w:rsidRPr="00C108C2">
        <w:rPr>
          <w:rFonts w:cs="Arial"/>
        </w:rPr>
        <w:t xml:space="preserve"> nedatovaných evropských/mezinárodních norem (včetně všech změn).</w:t>
      </w:r>
    </w:p>
    <w:p w14:paraId="43860526" w14:textId="77777777" w:rsidR="00B859CA" w:rsidRPr="000863B2" w:rsidRDefault="00B859CA" w:rsidP="00B859CA">
      <w:pPr>
        <w:pStyle w:val="Nadpislnku"/>
      </w:pPr>
      <w:r w:rsidRPr="000863B2">
        <w:t>Citované předpisy</w:t>
      </w:r>
    </w:p>
    <w:p w14:paraId="07806D6E" w14:textId="77777777" w:rsidR="00B859CA" w:rsidRDefault="00B859CA" w:rsidP="00B859CA">
      <w:pPr>
        <w:pStyle w:val="Textnormy"/>
      </w:pPr>
      <w:r w:rsidRPr="000863B2">
        <w:t>Směrnice Rady 90/396/E</w:t>
      </w:r>
      <w:r>
        <w:t>HS</w:t>
      </w:r>
      <w:r w:rsidRPr="000863B2">
        <w:t xml:space="preserve"> </w:t>
      </w:r>
      <w:r>
        <w:t>(</w:t>
      </w:r>
      <w:r w:rsidRPr="000863B2">
        <w:t>90/396/EEC</w:t>
      </w:r>
      <w:r>
        <w:t xml:space="preserve">) ze dne </w:t>
      </w:r>
      <w:r w:rsidRPr="000863B2">
        <w:t>29.</w:t>
      </w:r>
      <w:r>
        <w:t> </w:t>
      </w:r>
      <w:r w:rsidRPr="000863B2">
        <w:t>června</w:t>
      </w:r>
      <w:r>
        <w:t> </w:t>
      </w:r>
      <w:r w:rsidRPr="000863B2">
        <w:t xml:space="preserve">1990, o sbližování právních předpisů členských států týkajících se spotřebičů plynných paliv. V České republice je tato směrnice zavedena nařízením vlády č. 22/2003 Sb., </w:t>
      </w:r>
      <w:r>
        <w:t xml:space="preserve">ze dne 11. února 2003, </w:t>
      </w:r>
      <w:r w:rsidRPr="000863B2">
        <w:t>kterým se stanoví technické požadavky na spotřebiče plynných paliv, v platném znění.</w:t>
      </w:r>
    </w:p>
    <w:p w14:paraId="35B1396D" w14:textId="77777777" w:rsidR="007B610F" w:rsidRDefault="007B610F" w:rsidP="007B610F">
      <w:pPr>
        <w:pStyle w:val="Nadpislnku"/>
      </w:pPr>
      <w:r w:rsidRPr="00AC0FA5">
        <w:t>Vypracování normy</w:t>
      </w:r>
    </w:p>
    <w:p w14:paraId="4D79CA8D" w14:textId="218D4F9E" w:rsidR="007B610F" w:rsidRDefault="007B610F" w:rsidP="007B610F">
      <w:pPr>
        <w:pStyle w:val="Textnormy"/>
      </w:pPr>
      <w:r>
        <w:t>Zpracovatel odborného překladu</w:t>
      </w:r>
      <w:r w:rsidR="00AE7DE2">
        <w:t>:</w:t>
      </w:r>
      <w:r>
        <w:t xml:space="preserve"> </w:t>
      </w:r>
      <w:r w:rsidR="00AE7DE2" w:rsidRPr="000863B2">
        <w:t>Remeš Brno, IČ</w:t>
      </w:r>
      <w:r w:rsidR="00924DBA">
        <w:t>O</w:t>
      </w:r>
      <w:r w:rsidR="00AE7DE2" w:rsidRPr="000863B2">
        <w:t xml:space="preserve"> 15557448</w:t>
      </w:r>
    </w:p>
    <w:p w14:paraId="78C0E595" w14:textId="06701BB6" w:rsidR="007B610F" w:rsidRDefault="007B610F" w:rsidP="007B610F">
      <w:pPr>
        <w:pStyle w:val="Textnormy"/>
        <w:rPr>
          <w:bCs/>
          <w:i/>
          <w:iCs/>
        </w:rPr>
      </w:pPr>
      <w:r>
        <w:t xml:space="preserve">Technická normalizační komise: </w:t>
      </w:r>
      <w:r w:rsidR="00AE7DE2" w:rsidRPr="000863B2">
        <w:t>TNK 26 Spotřebiče na plynná, kapalná a pevná paliva</w:t>
      </w:r>
    </w:p>
    <w:p w14:paraId="1B3477B2" w14:textId="153E33BD" w:rsidR="007B610F" w:rsidRPr="00DF7237" w:rsidRDefault="007B610F" w:rsidP="007B610F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DF7237">
          <w:rPr>
            <w:rStyle w:val="Hypertextovodkaz"/>
          </w:rPr>
          <w:t>Česká agentura pro standardizaci, státní příspěvková organizace</w:t>
        </w:r>
      </w:hyperlink>
    </w:p>
    <w:p w14:paraId="46E0B72A" w14:textId="59E180B9" w:rsidR="007B610F" w:rsidRDefault="007B610F" w:rsidP="007B610F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DF7237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35DF9562" w14:textId="77777777" w:rsidR="007B610F" w:rsidRPr="00DC4965" w:rsidRDefault="007B610F" w:rsidP="007B610F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3ED5203E" w14:textId="77777777" w:rsidR="00B859CA" w:rsidRPr="000863B2" w:rsidRDefault="00B859CA" w:rsidP="00B859CA">
      <w:pPr>
        <w:pStyle w:val="EvropNorma"/>
        <w:tabs>
          <w:tab w:val="clear" w:pos="8505"/>
          <w:tab w:val="left" w:pos="7655"/>
        </w:tabs>
      </w:pPr>
      <w:r w:rsidRPr="000863B2">
        <w:lastRenderedPageBreak/>
        <w:t>EVROPSKÁ NORMA</w:t>
      </w:r>
      <w:r w:rsidRPr="000863B2">
        <w:tab/>
        <w:t>EN 30-1-3:20</w:t>
      </w:r>
      <w:r>
        <w:t>1</w:t>
      </w:r>
      <w:r w:rsidRPr="000863B2">
        <w:t>3+A1</w:t>
      </w:r>
      <w:r w:rsidRPr="000863B2">
        <w:br/>
        <w:t>EUROPEAN STANDARD</w:t>
      </w:r>
      <w:r w:rsidRPr="000863B2">
        <w:br/>
        <w:t>NORME EUROPÉENNE</w:t>
      </w:r>
      <w:r w:rsidRPr="000863B2">
        <w:br/>
        <w:t>EUROPÄISCHE NORM</w:t>
      </w:r>
      <w:r w:rsidRPr="000863B2">
        <w:tab/>
      </w:r>
      <w:proofErr w:type="gramStart"/>
      <w:r w:rsidRPr="000863B2">
        <w:rPr>
          <w:b w:val="0"/>
          <w:sz w:val="20"/>
        </w:rPr>
        <w:t>Říjen</w:t>
      </w:r>
      <w:proofErr w:type="gramEnd"/>
      <w:r w:rsidRPr="000863B2">
        <w:rPr>
          <w:b w:val="0"/>
          <w:sz w:val="20"/>
        </w:rPr>
        <w:t xml:space="preserve"> 20</w:t>
      </w:r>
      <w:r>
        <w:rPr>
          <w:b w:val="0"/>
          <w:sz w:val="20"/>
        </w:rPr>
        <w:t>20</w:t>
      </w:r>
    </w:p>
    <w:p w14:paraId="1142C710" w14:textId="77777777" w:rsidR="00B859CA" w:rsidRPr="000863B2" w:rsidRDefault="00B859CA" w:rsidP="00B859CA">
      <w:pPr>
        <w:pStyle w:val="ICS"/>
      </w:pPr>
      <w:r w:rsidRPr="000863B2">
        <w:t>ICS 97.040.20</w:t>
      </w:r>
      <w:r w:rsidRPr="000863B2">
        <w:tab/>
        <w:t>Nahrazuje EN 30-1-3:2003</w:t>
      </w:r>
    </w:p>
    <w:p w14:paraId="49DB70CD" w14:textId="77777777" w:rsidR="00B859CA" w:rsidRPr="000863B2" w:rsidRDefault="00B859CA" w:rsidP="00B859CA">
      <w:pPr>
        <w:pStyle w:val="NzNorCZ"/>
      </w:pPr>
      <w:r w:rsidRPr="000863B2">
        <w:t>Varné spotřebiče na plynná paliva pro domácnost –</w:t>
      </w:r>
      <w:r w:rsidRPr="000863B2">
        <w:br/>
        <w:t>Část 1-3: Bezpečnost – Spotřebiče se sklokeramickou varnou deskou</w:t>
      </w:r>
    </w:p>
    <w:p w14:paraId="028346F6" w14:textId="77777777" w:rsidR="00B859CA" w:rsidRPr="000863B2" w:rsidRDefault="00B859CA" w:rsidP="00B859CA">
      <w:pPr>
        <w:pStyle w:val="NzNorUS"/>
      </w:pPr>
      <w:r w:rsidRPr="000863B2">
        <w:t>Domestic cooking appliances burning gas –</w:t>
      </w:r>
      <w:r w:rsidRPr="000863B2">
        <w:br/>
        <w:t>Part 1-3: Safety – Appliances having a glass ceramic hotplate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2"/>
      </w:tblGrid>
      <w:tr w:rsidR="00B859CA" w:rsidRPr="000863B2" w14:paraId="22F78ABC" w14:textId="77777777" w:rsidTr="00D81E9B">
        <w:trPr>
          <w:jc w:val="center"/>
        </w:trPr>
        <w:tc>
          <w:tcPr>
            <w:tcW w:w="4961" w:type="dxa"/>
          </w:tcPr>
          <w:p w14:paraId="014600B8" w14:textId="77777777" w:rsidR="00B859CA" w:rsidRPr="000863B2" w:rsidRDefault="00B859CA" w:rsidP="00D81E9B">
            <w:pPr>
              <w:pStyle w:val="NzNorFraGer"/>
              <w:ind w:right="140"/>
            </w:pPr>
            <w:r w:rsidRPr="000863B2">
              <w:t>Appareils de cuisson domestiques utilisantles combustibles gazeux –</w:t>
            </w:r>
            <w:r w:rsidRPr="000863B2">
              <w:br/>
              <w:t>Partie 1-3: Sécurité – Appareils comportant</w:t>
            </w:r>
            <w:r w:rsidRPr="000863B2">
              <w:br/>
              <w:t>une table de travail vitrocéramique</w:t>
            </w:r>
          </w:p>
        </w:tc>
        <w:tc>
          <w:tcPr>
            <w:tcW w:w="4961" w:type="dxa"/>
          </w:tcPr>
          <w:p w14:paraId="759652E8" w14:textId="77777777" w:rsidR="00B859CA" w:rsidRPr="000863B2" w:rsidRDefault="00B859CA" w:rsidP="00D81E9B">
            <w:pPr>
              <w:pStyle w:val="NzNorFraGer"/>
            </w:pPr>
            <w:r w:rsidRPr="000863B2">
              <w:t>Haushalt-Kochgeräte für gasförmige Brennstoffe –</w:t>
            </w:r>
            <w:r w:rsidRPr="000863B2">
              <w:br/>
            </w:r>
            <w:r w:rsidRPr="000863B2">
              <w:rPr>
                <w:spacing w:val="-4"/>
              </w:rPr>
              <w:t>Teil 1-3: Sicherheit – Geräte mit Glaskeramik-Kochteil</w:t>
            </w:r>
          </w:p>
        </w:tc>
      </w:tr>
    </w:tbl>
    <w:p w14:paraId="0D9209B8" w14:textId="77777777" w:rsidR="00B859CA" w:rsidRPr="006343C3" w:rsidRDefault="00B859CA" w:rsidP="00B859CA">
      <w:pPr>
        <w:pStyle w:val="Textnormy"/>
      </w:pPr>
      <w:r w:rsidRPr="006343C3">
        <w:t>Tato evropská norma byla schválena CEN dne 20</w:t>
      </w:r>
      <w:r>
        <w:t>1</w:t>
      </w:r>
      <w:r w:rsidRPr="006343C3">
        <w:t>3-07-02 a obsahuje změnu 1, která byla schválena CEN dne 20</w:t>
      </w:r>
      <w:r>
        <w:t>20</w:t>
      </w:r>
      <w:r w:rsidRPr="006343C3">
        <w:t>-09-29.</w:t>
      </w:r>
    </w:p>
    <w:p w14:paraId="368B8CE5" w14:textId="77777777" w:rsidR="00B859CA" w:rsidRDefault="00B859CA" w:rsidP="00B859CA">
      <w:pPr>
        <w:pStyle w:val="Textnormy"/>
      </w:pPr>
      <w:r>
        <w:t xml:space="preserve">Členové CEN jsou povinni splnit vnitřní předpisy CEN/CENELEC, v nichž jsou stanoveny podmínky, </w:t>
      </w:r>
      <w:r w:rsidRPr="006B4E66">
        <w:t>za kterých se této evropské normě bez jakýchkoliv modifikací uděluje status národní normy</w:t>
      </w:r>
      <w:r>
        <w:t xml:space="preserve">. Aktualizované seznamy </w:t>
      </w:r>
      <w:r w:rsidRPr="00A33A8E">
        <w:rPr>
          <w:spacing w:val="-4"/>
        </w:rPr>
        <w:t>a bibliografické citace týkající se těchto národních norem lze obdržet na vyžádání v Řídicím centru CEN-CENELEC</w:t>
      </w:r>
      <w:r>
        <w:t xml:space="preserve"> nebo u kteréhokoliv člena CEN.</w:t>
      </w:r>
    </w:p>
    <w:p w14:paraId="22A8F7BF" w14:textId="77777777" w:rsidR="00B859CA" w:rsidRPr="000863B2" w:rsidRDefault="00B859CA" w:rsidP="00B859CA">
      <w:pPr>
        <w:pStyle w:val="Textnormy"/>
      </w:pPr>
      <w:r>
        <w:t>Tato evropská norma existuje ve třech oficiálních verzích (anglické, francouzské, německé). Verze v každém jiném jazyce přeložená členem CEN do jeho vlastního jazyka, za kterou zodpovídá a kterou notifikuje Řídicímu centru CEN-CENELEC, má stejný status jako oficiální verze.</w:t>
      </w:r>
    </w:p>
    <w:p w14:paraId="473529F6" w14:textId="77777777" w:rsidR="00B859CA" w:rsidRDefault="00B859CA" w:rsidP="00B859CA">
      <w:pPr>
        <w:pStyle w:val="Textnormy"/>
      </w:pPr>
      <w:r w:rsidRPr="00345180">
        <w:rPr>
          <w:spacing w:val="-2"/>
        </w:rPr>
        <w:t xml:space="preserve">Členy CEN jsou národní normalizační orgány </w:t>
      </w:r>
      <w:r w:rsidRPr="00AC0FA5">
        <w:t xml:space="preserve">Belgie, Bulharska, České republiky, Dánska, Estonska, Finska, Francie, Chorvatska, Irska, Islandu, Itálie, Kypru, Litvy, Lotyšska, Lucemburska, Maďarska, Malty, Německa, </w:t>
      </w:r>
      <w:r>
        <w:br/>
      </w:r>
      <w:r w:rsidRPr="00D7418E">
        <w:rPr>
          <w:spacing w:val="-3"/>
        </w:rPr>
        <w:t>Nizozemska, Norska, Polska, Portugalska, Rakouska, Republiky Severní Makedonie, Rumunska, Řecka, Slovenska</w:t>
      </w:r>
      <w:r w:rsidRPr="00AC0FA5">
        <w:t xml:space="preserve">, Slovinska, Spojeného království, </w:t>
      </w:r>
      <w:r>
        <w:t xml:space="preserve">Srbska, </w:t>
      </w:r>
      <w:r w:rsidRPr="00AC0FA5">
        <w:t>Španělska, Švédska, Švýcarska a</w:t>
      </w:r>
      <w:r>
        <w:t> </w:t>
      </w:r>
      <w:r w:rsidRPr="00AC0FA5">
        <w:t>Turecka.</w:t>
      </w:r>
    </w:p>
    <w:p w14:paraId="5D979875" w14:textId="131FA068" w:rsidR="00B859CA" w:rsidRDefault="00B859CA" w:rsidP="00B859CA">
      <w:pPr>
        <w:pStyle w:val="Textnormy"/>
        <w:framePr w:hSpace="142" w:wrap="around" w:hAnchor="page" w:x="1022" w:yAlign="bottom"/>
        <w:spacing w:before="60" w:after="0"/>
        <w:jc w:val="center"/>
        <w:rPr>
          <w:b/>
          <w:sz w:val="24"/>
        </w:rPr>
      </w:pPr>
      <w:r>
        <w:t xml:space="preserve"> </w:t>
      </w:r>
      <w:r w:rsidRPr="00AA7CB9">
        <w:rPr>
          <w:noProof/>
        </w:rPr>
        <w:drawing>
          <wp:inline distT="0" distB="0" distL="0" distR="0" wp14:anchorId="263CC970" wp14:editId="3ECB2A39">
            <wp:extent cx="1013460" cy="807720"/>
            <wp:effectExtent l="0" t="0" r="0" b="0"/>
            <wp:docPr id="205476412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4" t="4073" r="3304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1BC0B565" w14:textId="77777777" w:rsidR="00B859CA" w:rsidRDefault="00B859CA" w:rsidP="00B859CA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</w:t>
      </w:r>
    </w:p>
    <w:p w14:paraId="4AFBA4F4" w14:textId="77777777" w:rsidR="00B859CA" w:rsidRDefault="00B859CA" w:rsidP="00B859CA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Standardization</w:t>
      </w:r>
    </w:p>
    <w:p w14:paraId="32F40680" w14:textId="77777777" w:rsidR="00B859CA" w:rsidRDefault="00B859CA" w:rsidP="00B859CA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</w:t>
      </w:r>
    </w:p>
    <w:p w14:paraId="56AA1884" w14:textId="77777777" w:rsidR="00B859CA" w:rsidRDefault="00B859CA" w:rsidP="00B859CA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Normung</w:t>
      </w:r>
    </w:p>
    <w:p w14:paraId="567B6CBF" w14:textId="77777777" w:rsidR="00B859CA" w:rsidRPr="00C36DB1" w:rsidRDefault="00B859CA" w:rsidP="00B859CA">
      <w:pPr>
        <w:pStyle w:val="Textnormy"/>
        <w:framePr w:hSpace="142" w:wrap="around" w:hAnchor="page" w:x="1022" w:yAlign="bottom"/>
        <w:spacing w:before="120" w:after="240"/>
        <w:jc w:val="center"/>
        <w:rPr>
          <w:rFonts w:cs="Arial"/>
          <w:b/>
        </w:rPr>
      </w:pPr>
      <w:r w:rsidRPr="00C36DB1">
        <w:rPr>
          <w:rFonts w:cs="Arial"/>
          <w:b/>
        </w:rPr>
        <w:t xml:space="preserve">Řídicí centrum CEN-CENELEC: </w:t>
      </w:r>
      <w:r w:rsidRPr="00C36DB1">
        <w:rPr>
          <w:rFonts w:cs="Arial"/>
          <w:b/>
          <w:color w:val="000000"/>
        </w:rPr>
        <w:t>Rue de la Science 23, B-1040 Brusel</w:t>
      </w:r>
    </w:p>
    <w:p w14:paraId="5807D1B3" w14:textId="77777777" w:rsidR="00B859CA" w:rsidRDefault="00B859CA" w:rsidP="00B859CA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120"/>
        <w:ind w:left="1418" w:hanging="1418"/>
        <w:rPr>
          <w:b/>
        </w:rPr>
      </w:pPr>
      <w:r>
        <w:sym w:font="Times New Roman" w:char="00A9"/>
      </w:r>
      <w:r>
        <w:t xml:space="preserve"> 2020 CEN</w:t>
      </w:r>
      <w:r>
        <w:tab/>
        <w:t xml:space="preserve">Veškerá práva pro využití v jakékoli formě a jakýmikoli prostředky </w:t>
      </w:r>
      <w:r>
        <w:tab/>
        <w:t>Ref. č. EN 30-1-3:2013+A1:2020 E</w:t>
      </w:r>
      <w:r>
        <w:br/>
        <w:t>jsou celosvětově vyhrazena národním členům CEN.</w:t>
      </w:r>
    </w:p>
    <w:p w14:paraId="3F049299" w14:textId="77777777" w:rsidR="00B859CA" w:rsidRPr="006343C3" w:rsidRDefault="00B859CA" w:rsidP="00B859CA">
      <w:pPr>
        <w:pStyle w:val="Textnormy"/>
      </w:pPr>
    </w:p>
    <w:p w14:paraId="2D78D7DE" w14:textId="77777777" w:rsidR="00B859CA" w:rsidRPr="000863B2" w:rsidRDefault="00B859CA" w:rsidP="00B859CA">
      <w:pPr>
        <w:pStyle w:val="Nadpiskapitoly"/>
        <w:pageBreakBefore/>
        <w:spacing w:before="0"/>
      </w:pPr>
      <w:bookmarkStart w:id="0" w:name="_Toc359251362"/>
      <w:bookmarkStart w:id="1" w:name="_Toc359251520"/>
      <w:bookmarkStart w:id="2" w:name="_Toc359251680"/>
      <w:bookmarkStart w:id="3" w:name="_Toc359251937"/>
      <w:bookmarkStart w:id="4" w:name="_Toc359252126"/>
      <w:bookmarkStart w:id="5" w:name="_Toc359252241"/>
      <w:bookmarkStart w:id="6" w:name="_Toc359252484"/>
      <w:bookmarkStart w:id="7" w:name="_Toc359252724"/>
      <w:bookmarkStart w:id="8" w:name="_Toc359252845"/>
      <w:bookmarkStart w:id="9" w:name="_Toc359252919"/>
      <w:bookmarkStart w:id="10" w:name="_Toc359283645"/>
      <w:bookmarkStart w:id="11" w:name="_Toc365965545"/>
      <w:bookmarkStart w:id="12" w:name="_Toc365967312"/>
      <w:bookmarkStart w:id="13" w:name="_Toc365968759"/>
      <w:bookmarkStart w:id="14" w:name="_Toc367082924"/>
      <w:bookmarkStart w:id="15" w:name="_Toc372429539"/>
      <w:bookmarkStart w:id="16" w:name="_Toc375302773"/>
      <w:bookmarkStart w:id="17" w:name="_Toc379098930"/>
      <w:r w:rsidRPr="000863B2">
        <w:lastRenderedPageBreak/>
        <w:t>Obsah</w:t>
      </w:r>
    </w:p>
    <w:p w14:paraId="0FFE22CA" w14:textId="77777777" w:rsidR="00B859CA" w:rsidRPr="000863B2" w:rsidRDefault="00B859CA" w:rsidP="00B859CA">
      <w:pPr>
        <w:pStyle w:val="Textnormy"/>
        <w:jc w:val="right"/>
        <w:rPr>
          <w:rFonts w:cs="Arial"/>
          <w:sz w:val="18"/>
          <w:szCs w:val="18"/>
        </w:rPr>
      </w:pPr>
      <w:r w:rsidRPr="000863B2">
        <w:rPr>
          <w:rFonts w:cs="Arial"/>
          <w:sz w:val="18"/>
          <w:szCs w:val="18"/>
        </w:rPr>
        <w:t>Strana</w:t>
      </w:r>
    </w:p>
    <w:p w14:paraId="23894945" w14:textId="5AE94EEC" w:rsidR="00B859CA" w:rsidRPr="006F5D6A" w:rsidRDefault="00B859CA" w:rsidP="00B859CA">
      <w:pPr>
        <w:pStyle w:val="Obsah1"/>
        <w:rPr>
          <w:rFonts w:cs="Arial"/>
          <w:szCs w:val="18"/>
        </w:rPr>
      </w:pPr>
      <w:r w:rsidRPr="006F5D6A">
        <w:rPr>
          <w:rFonts w:cs="Arial"/>
          <w:szCs w:val="18"/>
        </w:rPr>
        <w:fldChar w:fldCharType="begin"/>
      </w:r>
      <w:r w:rsidRPr="006F5D6A">
        <w:rPr>
          <w:rFonts w:cs="Arial"/>
          <w:szCs w:val="18"/>
        </w:rPr>
        <w:instrText xml:space="preserve"> TOC \o "1-1" </w:instrText>
      </w:r>
      <w:r w:rsidRPr="006F5D6A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Evropská p</w:t>
      </w:r>
      <w:r w:rsidRPr="006F5D6A">
        <w:rPr>
          <w:rFonts w:cs="Arial"/>
          <w:szCs w:val="18"/>
        </w:rPr>
        <w:t>ředmluva</w:t>
      </w:r>
      <w:r w:rsidRPr="006F5D6A">
        <w:rPr>
          <w:rFonts w:cs="Arial"/>
          <w:szCs w:val="18"/>
        </w:rPr>
        <w:tab/>
      </w:r>
      <w:r>
        <w:rPr>
          <w:rFonts w:cs="Arial"/>
          <w:szCs w:val="18"/>
        </w:rPr>
        <w:t>5</w:t>
      </w:r>
    </w:p>
    <w:p w14:paraId="64CCA425" w14:textId="4385A853" w:rsidR="00B859CA" w:rsidRPr="006F5D6A" w:rsidRDefault="00B859CA" w:rsidP="00B859CA">
      <w:pPr>
        <w:pStyle w:val="Obsah1"/>
        <w:rPr>
          <w:rFonts w:cs="Arial"/>
          <w:szCs w:val="18"/>
        </w:rPr>
      </w:pPr>
      <w:r w:rsidRPr="006F5D6A">
        <w:rPr>
          <w:rFonts w:cs="Arial"/>
          <w:b/>
          <w:caps/>
          <w:szCs w:val="18"/>
        </w:rPr>
        <w:t>1</w:t>
      </w:r>
      <w:r w:rsidRPr="006F5D6A">
        <w:rPr>
          <w:rFonts w:cs="Arial"/>
          <w:caps/>
          <w:szCs w:val="18"/>
        </w:rPr>
        <w:tab/>
      </w:r>
      <w:r w:rsidRPr="006F5D6A">
        <w:rPr>
          <w:rFonts w:cs="Arial"/>
          <w:szCs w:val="18"/>
        </w:rPr>
        <w:t>Předmět normy</w:t>
      </w:r>
      <w:r w:rsidRPr="006F5D6A">
        <w:rPr>
          <w:rFonts w:cs="Arial"/>
          <w:szCs w:val="18"/>
        </w:rPr>
        <w:tab/>
      </w:r>
      <w:r>
        <w:rPr>
          <w:rFonts w:cs="Arial"/>
          <w:szCs w:val="18"/>
        </w:rPr>
        <w:t>6</w:t>
      </w:r>
    </w:p>
    <w:p w14:paraId="19C2159B" w14:textId="799743E7" w:rsidR="00B859CA" w:rsidRPr="006F5D6A" w:rsidRDefault="00B859CA" w:rsidP="00B859CA">
      <w:pPr>
        <w:pStyle w:val="Obsah1"/>
        <w:rPr>
          <w:rFonts w:cs="Arial"/>
          <w:szCs w:val="18"/>
        </w:rPr>
      </w:pPr>
      <w:r w:rsidRPr="006F5D6A">
        <w:rPr>
          <w:rFonts w:cs="Arial"/>
          <w:b/>
          <w:szCs w:val="18"/>
        </w:rPr>
        <w:t>2</w:t>
      </w:r>
      <w:r w:rsidRPr="006F5D6A">
        <w:rPr>
          <w:rFonts w:cs="Arial"/>
          <w:szCs w:val="18"/>
        </w:rPr>
        <w:tab/>
        <w:t>Citované dokumenty</w:t>
      </w:r>
      <w:r w:rsidRPr="006F5D6A">
        <w:rPr>
          <w:rFonts w:cs="Arial"/>
          <w:szCs w:val="18"/>
        </w:rPr>
        <w:tab/>
      </w:r>
      <w:r>
        <w:rPr>
          <w:rFonts w:cs="Arial"/>
          <w:szCs w:val="18"/>
        </w:rPr>
        <w:t>6</w:t>
      </w:r>
    </w:p>
    <w:p w14:paraId="45C39FF1" w14:textId="3B14E742" w:rsidR="00B859CA" w:rsidRPr="006F5D6A" w:rsidRDefault="00B859CA" w:rsidP="00B859CA">
      <w:pPr>
        <w:pStyle w:val="Obsah1"/>
        <w:rPr>
          <w:rFonts w:cs="Arial"/>
          <w:szCs w:val="18"/>
        </w:rPr>
      </w:pPr>
      <w:r w:rsidRPr="006F5D6A">
        <w:rPr>
          <w:rFonts w:cs="Arial"/>
          <w:b/>
          <w:szCs w:val="18"/>
        </w:rPr>
        <w:t>3</w:t>
      </w:r>
      <w:r w:rsidRPr="006F5D6A">
        <w:rPr>
          <w:rFonts w:cs="Arial"/>
          <w:szCs w:val="18"/>
        </w:rPr>
        <w:tab/>
        <w:t>Termíny a definice</w:t>
      </w:r>
      <w:r w:rsidRPr="006F5D6A">
        <w:rPr>
          <w:rFonts w:cs="Arial"/>
          <w:szCs w:val="18"/>
        </w:rPr>
        <w:tab/>
      </w:r>
      <w:r>
        <w:rPr>
          <w:rFonts w:cs="Arial"/>
          <w:szCs w:val="18"/>
        </w:rPr>
        <w:t>7</w:t>
      </w:r>
    </w:p>
    <w:p w14:paraId="7CDBC913" w14:textId="2BF8B003" w:rsidR="00B859CA" w:rsidRPr="006F5D6A" w:rsidRDefault="00B859CA" w:rsidP="00B859CA">
      <w:pPr>
        <w:pStyle w:val="Obsah1"/>
        <w:rPr>
          <w:rFonts w:cs="Arial"/>
          <w:szCs w:val="18"/>
        </w:rPr>
      </w:pPr>
      <w:r w:rsidRPr="006F5D6A">
        <w:rPr>
          <w:rFonts w:cs="Arial"/>
          <w:b/>
          <w:szCs w:val="18"/>
        </w:rPr>
        <w:t>4</w:t>
      </w:r>
      <w:r w:rsidRPr="006F5D6A">
        <w:rPr>
          <w:rFonts w:cs="Arial"/>
          <w:szCs w:val="18"/>
        </w:rPr>
        <w:tab/>
        <w:t>Třídění</w:t>
      </w:r>
      <w:r w:rsidRPr="006F5D6A">
        <w:rPr>
          <w:rFonts w:cs="Arial"/>
          <w:szCs w:val="18"/>
        </w:rPr>
        <w:tab/>
      </w:r>
      <w:r>
        <w:rPr>
          <w:rFonts w:cs="Arial"/>
          <w:szCs w:val="18"/>
        </w:rPr>
        <w:t>7</w:t>
      </w:r>
    </w:p>
    <w:p w14:paraId="16BDC6A8" w14:textId="7E851F2E" w:rsidR="00B859CA" w:rsidRPr="006F5D6A" w:rsidRDefault="00B859CA" w:rsidP="00B859CA">
      <w:pPr>
        <w:pStyle w:val="Obsah1"/>
        <w:rPr>
          <w:rFonts w:cs="Arial"/>
          <w:szCs w:val="18"/>
        </w:rPr>
      </w:pPr>
      <w:r w:rsidRPr="006F5D6A">
        <w:rPr>
          <w:rFonts w:cs="Arial"/>
          <w:b/>
          <w:szCs w:val="18"/>
        </w:rPr>
        <w:t>5</w:t>
      </w:r>
      <w:r w:rsidRPr="006F5D6A">
        <w:rPr>
          <w:rFonts w:cs="Arial"/>
          <w:szCs w:val="18"/>
        </w:rPr>
        <w:tab/>
        <w:t>Konstrukční požadavky</w:t>
      </w:r>
      <w:r w:rsidRPr="006F5D6A">
        <w:rPr>
          <w:rFonts w:cs="Arial"/>
          <w:szCs w:val="18"/>
        </w:rPr>
        <w:tab/>
      </w:r>
      <w:r>
        <w:rPr>
          <w:rFonts w:cs="Arial"/>
          <w:szCs w:val="18"/>
        </w:rPr>
        <w:t>7</w:t>
      </w:r>
    </w:p>
    <w:p w14:paraId="097ACC1D" w14:textId="540A1B79" w:rsidR="00B859CA" w:rsidRPr="006F5D6A" w:rsidRDefault="00B859CA" w:rsidP="00B859CA">
      <w:pPr>
        <w:pStyle w:val="Obsah1"/>
        <w:rPr>
          <w:rFonts w:cs="Arial"/>
          <w:szCs w:val="18"/>
        </w:rPr>
      </w:pPr>
      <w:r w:rsidRPr="006F5D6A">
        <w:rPr>
          <w:rFonts w:cs="Arial"/>
          <w:b/>
          <w:szCs w:val="18"/>
        </w:rPr>
        <w:t>6</w:t>
      </w:r>
      <w:r w:rsidRPr="006F5D6A">
        <w:rPr>
          <w:rFonts w:cs="Arial"/>
          <w:szCs w:val="18"/>
        </w:rPr>
        <w:tab/>
        <w:t>Požadavky na provozní vlastnosti</w:t>
      </w:r>
      <w:r w:rsidRPr="006F5D6A">
        <w:rPr>
          <w:rFonts w:cs="Arial"/>
          <w:szCs w:val="18"/>
        </w:rPr>
        <w:tab/>
      </w:r>
      <w:r>
        <w:rPr>
          <w:rFonts w:cs="Arial"/>
          <w:szCs w:val="18"/>
        </w:rPr>
        <w:t>8</w:t>
      </w:r>
    </w:p>
    <w:p w14:paraId="46F52709" w14:textId="22CCE33A" w:rsidR="00B859CA" w:rsidRPr="006F5D6A" w:rsidRDefault="00B859CA" w:rsidP="00B859CA">
      <w:pPr>
        <w:pStyle w:val="Obsah1"/>
        <w:rPr>
          <w:rFonts w:cs="Arial"/>
          <w:szCs w:val="18"/>
        </w:rPr>
      </w:pPr>
      <w:r w:rsidRPr="006F5D6A">
        <w:rPr>
          <w:rFonts w:cs="Arial"/>
          <w:b/>
          <w:szCs w:val="18"/>
        </w:rPr>
        <w:t>7</w:t>
      </w:r>
      <w:r w:rsidRPr="006F5D6A">
        <w:rPr>
          <w:rFonts w:cs="Arial"/>
          <w:szCs w:val="18"/>
        </w:rPr>
        <w:tab/>
        <w:t>Zkušební metody</w:t>
      </w:r>
      <w:r w:rsidRPr="006F5D6A">
        <w:rPr>
          <w:rFonts w:cs="Arial"/>
          <w:szCs w:val="18"/>
        </w:rPr>
        <w:tab/>
      </w:r>
      <w:r>
        <w:rPr>
          <w:rFonts w:cs="Arial"/>
          <w:szCs w:val="18"/>
        </w:rPr>
        <w:t>9</w:t>
      </w:r>
    </w:p>
    <w:p w14:paraId="45E76E71" w14:textId="2935DB9F" w:rsidR="00B859CA" w:rsidRPr="006F5D6A" w:rsidRDefault="00B859CA" w:rsidP="00B859CA">
      <w:pPr>
        <w:pStyle w:val="Obsah1"/>
        <w:rPr>
          <w:rFonts w:cs="Arial"/>
          <w:szCs w:val="18"/>
        </w:rPr>
      </w:pPr>
      <w:r w:rsidRPr="006F5D6A">
        <w:rPr>
          <w:rFonts w:cs="Arial"/>
          <w:b/>
          <w:szCs w:val="18"/>
        </w:rPr>
        <w:t>8</w:t>
      </w:r>
      <w:r w:rsidRPr="006F5D6A">
        <w:rPr>
          <w:rFonts w:cs="Arial"/>
          <w:szCs w:val="18"/>
        </w:rPr>
        <w:tab/>
        <w:t>Značení a návody</w:t>
      </w:r>
      <w:r w:rsidRPr="006F5D6A">
        <w:rPr>
          <w:rFonts w:cs="Arial"/>
          <w:szCs w:val="18"/>
        </w:rPr>
        <w:tab/>
      </w:r>
      <w:r>
        <w:rPr>
          <w:rFonts w:cs="Arial"/>
          <w:szCs w:val="18"/>
        </w:rPr>
        <w:t>11</w:t>
      </w:r>
    </w:p>
    <w:p w14:paraId="5A84CDA6" w14:textId="12373B68" w:rsidR="00B859CA" w:rsidRPr="006F5D6A" w:rsidRDefault="00B859CA" w:rsidP="00B859CA">
      <w:pPr>
        <w:pStyle w:val="Obsah1"/>
        <w:rPr>
          <w:rFonts w:cs="Arial"/>
          <w:szCs w:val="18"/>
        </w:rPr>
      </w:pPr>
      <w:r w:rsidRPr="006F5D6A">
        <w:rPr>
          <w:rFonts w:cs="Arial"/>
          <w:b/>
          <w:szCs w:val="18"/>
        </w:rPr>
        <w:t>Příloha ZA</w:t>
      </w:r>
      <w:r w:rsidRPr="006F5D6A">
        <w:rPr>
          <w:rFonts w:cs="Arial"/>
          <w:szCs w:val="18"/>
        </w:rPr>
        <w:t xml:space="preserve"> (informativní) Vztah mezi touto evropskou normou a základními požadavky směrnice 90/396/EHS</w:t>
      </w:r>
      <w:r w:rsidRPr="006F5D6A">
        <w:rPr>
          <w:rFonts w:cs="Arial"/>
          <w:szCs w:val="18"/>
        </w:rPr>
        <w:tab/>
      </w:r>
      <w:r>
        <w:rPr>
          <w:rFonts w:cs="Arial"/>
          <w:szCs w:val="18"/>
        </w:rPr>
        <w:t>13</w:t>
      </w:r>
    </w:p>
    <w:p w14:paraId="33D24906" w14:textId="6BEEB3AF" w:rsidR="00B859CA" w:rsidRPr="006F5D6A" w:rsidRDefault="00B859CA" w:rsidP="00B859CA">
      <w:pPr>
        <w:pStyle w:val="Obsah1"/>
        <w:rPr>
          <w:rFonts w:cs="Arial"/>
          <w:szCs w:val="18"/>
        </w:rPr>
      </w:pPr>
      <w:r w:rsidRPr="006F5D6A">
        <w:rPr>
          <w:rFonts w:cs="Arial"/>
          <w:szCs w:val="18"/>
        </w:rPr>
        <w:t>Bibliografie</w:t>
      </w:r>
      <w:r w:rsidRPr="006F5D6A">
        <w:rPr>
          <w:rFonts w:cs="Arial"/>
          <w:szCs w:val="18"/>
        </w:rPr>
        <w:tab/>
      </w:r>
      <w:r>
        <w:rPr>
          <w:rFonts w:cs="Arial"/>
          <w:szCs w:val="18"/>
        </w:rPr>
        <w:t>16</w:t>
      </w:r>
    </w:p>
    <w:p w14:paraId="25483E5A" w14:textId="77777777" w:rsidR="00B859CA" w:rsidRPr="006F5D6A" w:rsidRDefault="00B859CA" w:rsidP="00B859CA">
      <w:pPr>
        <w:pStyle w:val="Textnormy"/>
      </w:pPr>
      <w:r w:rsidRPr="006F5D6A">
        <w:rPr>
          <w:rFonts w:cs="Arial"/>
          <w:noProof/>
          <w:sz w:val="18"/>
          <w:szCs w:val="18"/>
        </w:rPr>
        <w:fldChar w:fldCharType="end"/>
      </w:r>
    </w:p>
    <w:p w14:paraId="5F8CCDFF" w14:textId="77777777" w:rsidR="00B859CA" w:rsidRPr="000863B2" w:rsidRDefault="00B859CA" w:rsidP="00B859CA">
      <w:pPr>
        <w:pStyle w:val="Nadpis1"/>
        <w:pageBreakBefore/>
        <w:spacing w:before="0"/>
      </w:pPr>
      <w:bookmarkStart w:id="18" w:name="_Toc63562364"/>
      <w:bookmarkStart w:id="19" w:name="_Toc158515343"/>
      <w:bookmarkStart w:id="20" w:name="_Toc380735103"/>
      <w:bookmarkStart w:id="21" w:name="_Toc380735203"/>
      <w:bookmarkStart w:id="22" w:name="_Toc380825387"/>
      <w:bookmarkStart w:id="23" w:name="_Toc380827276"/>
      <w:bookmarkStart w:id="24" w:name="_Toc380886222"/>
      <w:bookmarkStart w:id="25" w:name="_Toc380886260"/>
      <w:bookmarkStart w:id="26" w:name="_Toc380886467"/>
      <w:r>
        <w:lastRenderedPageBreak/>
        <w:t>Evropská p</w:t>
      </w:r>
      <w:r w:rsidRPr="000863B2">
        <w:t>ředmluva</w:t>
      </w:r>
      <w:bookmarkEnd w:id="18"/>
      <w:bookmarkEnd w:id="19"/>
    </w:p>
    <w:p w14:paraId="37C79E88" w14:textId="77777777" w:rsidR="00B859CA" w:rsidRPr="000863B2" w:rsidRDefault="00B859CA" w:rsidP="00B859CA">
      <w:pPr>
        <w:pStyle w:val="Textnormy"/>
        <w:rPr>
          <w:snapToGrid w:val="0"/>
        </w:rPr>
      </w:pPr>
      <w:r w:rsidRPr="000863B2">
        <w:t>Tento dokument (EN 30-1-3:20</w:t>
      </w:r>
      <w:r>
        <w:t>1</w:t>
      </w:r>
      <w:r w:rsidRPr="000863B2">
        <w:t>3+A1:20</w:t>
      </w:r>
      <w:r>
        <w:t>20</w:t>
      </w:r>
      <w:r w:rsidRPr="000863B2">
        <w:t xml:space="preserve">) </w:t>
      </w:r>
      <w:r>
        <w:t>vypracovala</w:t>
      </w:r>
      <w:r w:rsidRPr="000863B2">
        <w:t xml:space="preserve"> technick</w:t>
      </w:r>
      <w:r>
        <w:t>á</w:t>
      </w:r>
      <w:r w:rsidRPr="000863B2">
        <w:t xml:space="preserve"> komis</w:t>
      </w:r>
      <w:r>
        <w:t>e</w:t>
      </w:r>
      <w:r w:rsidRPr="000863B2">
        <w:t xml:space="preserve"> CEN/TC </w:t>
      </w:r>
      <w:r w:rsidRPr="000863B2">
        <w:rPr>
          <w:snapToGrid w:val="0"/>
        </w:rPr>
        <w:t xml:space="preserve">49 </w:t>
      </w:r>
      <w:r w:rsidRPr="00A04954">
        <w:rPr>
          <w:i/>
          <w:snapToGrid w:val="0"/>
        </w:rPr>
        <w:t>Varné spotřebiče na plynná paliva</w:t>
      </w:r>
      <w:r w:rsidRPr="000863B2">
        <w:rPr>
          <w:snapToGrid w:val="0"/>
        </w:rPr>
        <w:t>, jejíž sekretariát zajišťuje UNI.</w:t>
      </w:r>
    </w:p>
    <w:p w14:paraId="00199AA8" w14:textId="77777777" w:rsidR="00B859CA" w:rsidRDefault="00B859CA" w:rsidP="00B859CA">
      <w:pPr>
        <w:pStyle w:val="Textnormy"/>
      </w:pPr>
      <w:r w:rsidRPr="000863B2">
        <w:rPr>
          <w:spacing w:val="-2"/>
        </w:rPr>
        <w:t>Této evropské normě je nutno nejpozději do dubna 20</w:t>
      </w:r>
      <w:r>
        <w:rPr>
          <w:spacing w:val="-2"/>
        </w:rPr>
        <w:t>21</w:t>
      </w:r>
      <w:r w:rsidRPr="000863B2">
        <w:rPr>
          <w:spacing w:val="-2"/>
        </w:rPr>
        <w:t xml:space="preserve"> </w:t>
      </w:r>
      <w:r>
        <w:rPr>
          <w:spacing w:val="-2"/>
        </w:rPr>
        <w:t>udělit</w:t>
      </w:r>
      <w:r w:rsidRPr="000863B2">
        <w:rPr>
          <w:spacing w:val="-2"/>
        </w:rPr>
        <w:t xml:space="preserve"> status národní normy, a to buď vydáním identické</w:t>
      </w:r>
      <w:r w:rsidRPr="000863B2">
        <w:t xml:space="preserve">ho </w:t>
      </w:r>
      <w:r w:rsidRPr="00E46151">
        <w:rPr>
          <w:spacing w:val="-2"/>
        </w:rPr>
        <w:t>textu, nebo schválením k přímému používání, a národní normy, které jsou s ní v rozporu, je nutno zrušit nejpozději</w:t>
      </w:r>
      <w:r>
        <w:t xml:space="preserve"> do dubna </w:t>
      </w:r>
      <w:r w:rsidRPr="000863B2">
        <w:t>20</w:t>
      </w:r>
      <w:r>
        <w:t>21</w:t>
      </w:r>
      <w:r w:rsidRPr="000863B2">
        <w:t>.</w:t>
      </w:r>
    </w:p>
    <w:p w14:paraId="714ECAF0" w14:textId="77777777" w:rsidR="00B859CA" w:rsidRPr="000863B2" w:rsidRDefault="00B859CA" w:rsidP="00B859CA">
      <w:pPr>
        <w:pStyle w:val="Textnormy"/>
      </w:pPr>
      <w:r w:rsidRPr="003F5973">
        <w:t xml:space="preserve">Upozorňuje se na možnost, že některé prvky tohoto dokumentu mohou být předmětem patentových práv. CEN </w:t>
      </w:r>
      <w:r w:rsidRPr="003F5973">
        <w:rPr>
          <w:rFonts w:cs="Arial"/>
        </w:rPr>
        <w:t>[a/nebo CENELEC]</w:t>
      </w:r>
      <w:r w:rsidRPr="0073529A">
        <w:rPr>
          <w:rFonts w:cs="Arial"/>
        </w:rPr>
        <w:t xml:space="preserve"> </w:t>
      </w:r>
      <w:r w:rsidRPr="003F5973">
        <w:t xml:space="preserve">nelze činit odpovědným za identifikaci </w:t>
      </w:r>
      <w:r>
        <w:t>jakéhokoliv nebo</w:t>
      </w:r>
      <w:r w:rsidRPr="003F5973">
        <w:t xml:space="preserve"> všech patentových práv.</w:t>
      </w:r>
    </w:p>
    <w:p w14:paraId="76CC43F5" w14:textId="77777777" w:rsidR="00B859CA" w:rsidRPr="000863B2" w:rsidRDefault="00B859CA" w:rsidP="00B859CA">
      <w:pPr>
        <w:pStyle w:val="Textnormy"/>
        <w:rPr>
          <w:snapToGrid w:val="0"/>
        </w:rPr>
      </w:pPr>
      <w:r w:rsidRPr="000863B2">
        <w:rPr>
          <w:snapToGrid w:val="0"/>
        </w:rPr>
        <w:t xml:space="preserve">Tento dokument zahrnuje změnu A1 schválenou CEN </w:t>
      </w:r>
      <w:r>
        <w:rPr>
          <w:snapToGrid w:val="0"/>
        </w:rPr>
        <w:t xml:space="preserve">dne </w:t>
      </w:r>
      <w:r w:rsidRPr="000863B2">
        <w:rPr>
          <w:snapToGrid w:val="0"/>
        </w:rPr>
        <w:t>20</w:t>
      </w:r>
      <w:r>
        <w:rPr>
          <w:snapToGrid w:val="0"/>
        </w:rPr>
        <w:t>20</w:t>
      </w:r>
      <w:r w:rsidRPr="000863B2">
        <w:rPr>
          <w:snapToGrid w:val="0"/>
        </w:rPr>
        <w:t>-09-29.</w:t>
      </w:r>
    </w:p>
    <w:p w14:paraId="155815B4" w14:textId="77777777" w:rsidR="00B859CA" w:rsidRPr="000863B2" w:rsidRDefault="00B859CA" w:rsidP="00B859CA">
      <w:pPr>
        <w:pStyle w:val="Textnormy"/>
      </w:pPr>
      <w:r w:rsidRPr="000863B2">
        <w:rPr>
          <w:snapToGrid w:val="0"/>
        </w:rPr>
        <w:t xml:space="preserve">Tento dokument nahrazuje </w:t>
      </w:r>
      <w:r w:rsidRPr="000863B2">
        <w:t>EN</w:t>
      </w:r>
      <w:r>
        <w:t> </w:t>
      </w:r>
      <w:r w:rsidRPr="000863B2">
        <w:t>30-1-3:2003.</w:t>
      </w:r>
    </w:p>
    <w:p w14:paraId="6F454C11" w14:textId="77777777" w:rsidR="00B859CA" w:rsidRPr="000863B2" w:rsidRDefault="00B859CA" w:rsidP="00B859CA">
      <w:pPr>
        <w:pStyle w:val="Textnormy"/>
      </w:pPr>
      <w:r w:rsidRPr="000863B2">
        <w:t xml:space="preserve">Začátek a konec textu vloženého nebo upraveného změnou jsou vyznačeny </w:t>
      </w:r>
      <w:proofErr w:type="gramStart"/>
      <w:r w:rsidRPr="000863B2">
        <w:t xml:space="preserve">značkami </w:t>
      </w:r>
      <w:r w:rsidRPr="000863B2">
        <w:rPr>
          <w:rFonts w:ascii="BSsymb9" w:hAnsi="BSsymb9"/>
        </w:rPr>
        <w:t>!</w:t>
      </w:r>
      <w:proofErr w:type="gramEnd"/>
      <w:r w:rsidRPr="000863B2">
        <w:rPr>
          <w:rFonts w:cs="Arial"/>
        </w:rPr>
        <w:t> </w:t>
      </w:r>
      <w:r w:rsidRPr="000863B2">
        <w:rPr>
          <w:rFonts w:ascii="BSsymb9" w:hAnsi="BSsymb9"/>
        </w:rPr>
        <w:t>"</w:t>
      </w:r>
      <w:r w:rsidRPr="000863B2">
        <w:t>.</w:t>
      </w:r>
    </w:p>
    <w:p w14:paraId="5084126C" w14:textId="77777777" w:rsidR="00B859CA" w:rsidRPr="000863B2" w:rsidRDefault="00B859CA" w:rsidP="00B859CA">
      <w:pPr>
        <w:pStyle w:val="Textnormy"/>
      </w:pPr>
      <w:r w:rsidRPr="00E46151">
        <w:rPr>
          <w:spacing w:val="-2"/>
        </w:rPr>
        <w:t>Tento dokument byl vypracován na základě mandátu uděleného CEN Evropskou komisí a Evropským sdružením</w:t>
      </w:r>
      <w:r w:rsidRPr="000863B2">
        <w:t xml:space="preserve"> volného obchodu a podporuje </w:t>
      </w:r>
      <w:r>
        <w:t xml:space="preserve">splnění </w:t>
      </w:r>
      <w:r w:rsidRPr="000863B2">
        <w:t>základní</w:t>
      </w:r>
      <w:r>
        <w:t>ch</w:t>
      </w:r>
      <w:r w:rsidRPr="000863B2">
        <w:t xml:space="preserve"> požadavk</w:t>
      </w:r>
      <w:r>
        <w:t>ů</w:t>
      </w:r>
      <w:r w:rsidRPr="000863B2">
        <w:t xml:space="preserve"> směrnice (směrnic) EU.</w:t>
      </w:r>
    </w:p>
    <w:p w14:paraId="75C3A8F3" w14:textId="77777777" w:rsidR="00B859CA" w:rsidRPr="00E46151" w:rsidRDefault="00B859CA" w:rsidP="00B859CA">
      <w:pPr>
        <w:pStyle w:val="Textnormy"/>
        <w:rPr>
          <w:spacing w:val="-3"/>
        </w:rPr>
      </w:pPr>
      <w:r w:rsidRPr="00E46151">
        <w:rPr>
          <w:spacing w:val="-3"/>
        </w:rPr>
        <w:t>Vztah ke směrnici (směrnicím) EU je uveden v informativní příloze ZA, která je nedílnou součástí tohoto dokumentu.</w:t>
      </w:r>
    </w:p>
    <w:p w14:paraId="6E356BCF" w14:textId="77777777" w:rsidR="00B859CA" w:rsidRPr="000863B2" w:rsidRDefault="00B859CA" w:rsidP="00B859CA">
      <w:pPr>
        <w:pStyle w:val="Textnormy"/>
      </w:pPr>
      <w:r w:rsidRPr="000863B2">
        <w:t>Tato norma se má používat spolu s</w:t>
      </w:r>
      <w:r>
        <w:t> </w:t>
      </w:r>
      <w:r w:rsidRPr="000863B2">
        <w:t>EN</w:t>
      </w:r>
      <w:r>
        <w:t> </w:t>
      </w:r>
      <w:r w:rsidRPr="000863B2">
        <w:t>30-1-1 nebo EN 30-1-4</w:t>
      </w:r>
      <w:r>
        <w:t>,</w:t>
      </w:r>
      <w:r w:rsidRPr="000863B2">
        <w:t xml:space="preserve"> a je-li to vhodné, s EN 30-1-2.</w:t>
      </w:r>
    </w:p>
    <w:p w14:paraId="1275D605" w14:textId="77777777" w:rsidR="00B859CA" w:rsidRPr="000863B2" w:rsidRDefault="00B859CA" w:rsidP="00B859CA">
      <w:pPr>
        <w:pStyle w:val="Textnormy"/>
      </w:pPr>
      <w:r w:rsidRPr="000863B2">
        <w:t>Požadavky na hospodárné využití energie jsou uvedeny v EN 30-2-1, popř. EN 30-2-2.</w:t>
      </w:r>
    </w:p>
    <w:p w14:paraId="4DA02DFF" w14:textId="4E67721B" w:rsidR="00B859CA" w:rsidRPr="004C5093" w:rsidRDefault="00B859CA" w:rsidP="00B859CA">
      <w:pPr>
        <w:pStyle w:val="Textnormy"/>
      </w:pPr>
      <w:r w:rsidRPr="004C5093">
        <w:t xml:space="preserve">Podle vnitřních předpisů CEN-CENELEC jsou tuto evropskou normu povinny zavést národní normalizační </w:t>
      </w:r>
      <w:r w:rsidRPr="004C5093">
        <w:rPr>
          <w:spacing w:val="-2"/>
        </w:rPr>
        <w:t xml:space="preserve">organizace následujících zemí: 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20"/>
      <w:bookmarkEnd w:id="21"/>
      <w:bookmarkEnd w:id="22"/>
      <w:bookmarkEnd w:id="23"/>
      <w:bookmarkEnd w:id="24"/>
      <w:bookmarkEnd w:id="25"/>
      <w:bookmarkEnd w:id="26"/>
      <w:r w:rsidRPr="00AC0FA5">
        <w:t xml:space="preserve">Belgie, Bulharska, České republiky, Dánska, Estonska, Finska, Francie, Chorvatska, Irska, Islandu, Itálie, Kypru, Litvy, Lotyšska, Lucemburska, Maďarska, Malty, Německa, </w:t>
      </w:r>
      <w:r w:rsidRPr="00D7418E">
        <w:rPr>
          <w:spacing w:val="-3"/>
        </w:rPr>
        <w:t>Nizozemska, Norska, Polska, Portugalska, Rakouska, Republiky Severní Makedonie, Rumunska, Řecka, Slovenska</w:t>
      </w:r>
      <w:r w:rsidRPr="00AC0FA5">
        <w:t xml:space="preserve">, Slovinska, Spojeného království, </w:t>
      </w:r>
      <w:r>
        <w:t xml:space="preserve">Srbska, </w:t>
      </w:r>
      <w:r w:rsidRPr="00AC0FA5">
        <w:t>Španělska, Švédska, Švýcarska a</w:t>
      </w:r>
      <w:r>
        <w:t> </w:t>
      </w:r>
      <w:r w:rsidRPr="00AC0FA5">
        <w:t>Turecka.</w:t>
      </w:r>
    </w:p>
    <w:p w14:paraId="1511619C" w14:textId="77777777" w:rsidR="00B859CA" w:rsidRPr="000863B2" w:rsidRDefault="00B859CA" w:rsidP="00B859CA">
      <w:pPr>
        <w:pStyle w:val="Nadpislnku"/>
        <w:pageBreakBefore/>
        <w:spacing w:before="0"/>
      </w:pPr>
      <w:r w:rsidRPr="000863B2">
        <w:lastRenderedPageBreak/>
        <w:t>5.1.4.3</w:t>
      </w:r>
      <w:r w:rsidRPr="000863B2">
        <w:rPr>
          <w:rFonts w:ascii="Arial Unicode MS" w:eastAsia="Arial Unicode MS" w:hAnsi="Arial Unicode MS" w:cs="Arial Unicode MS" w:hint="eastAsia"/>
        </w:rPr>
        <w:t> </w:t>
      </w:r>
      <w:r w:rsidRPr="000863B2">
        <w:t>Sklokeramická deska</w:t>
      </w:r>
    </w:p>
    <w:p w14:paraId="56DA6C92" w14:textId="77777777" w:rsidR="00B859CA" w:rsidRPr="000863B2" w:rsidRDefault="00B859CA" w:rsidP="00B859CA">
      <w:pPr>
        <w:pStyle w:val="Textnormy"/>
      </w:pPr>
      <w:r w:rsidRPr="000863B2">
        <w:t>Materiály použité pro sklokeramické desky musí mít mechanické vlastnosti, které při běžném používání zajišťují odolnost proti poškození (trvanlivost).</w:t>
      </w:r>
    </w:p>
    <w:p w14:paraId="14840125" w14:textId="77777777" w:rsidR="00B859CA" w:rsidRPr="000863B2" w:rsidRDefault="00B859CA" w:rsidP="00B859CA">
      <w:pPr>
        <w:pStyle w:val="Textnormy"/>
      </w:pPr>
      <w:r w:rsidRPr="000863B2">
        <w:rPr>
          <w:spacing w:val="-2"/>
        </w:rPr>
        <w:t>Tento požadavek se považuje za splněný, jestliže po provedení zkoušky podle 7.6.1 povrch sklokeramické des</w:t>
      </w:r>
      <w:r w:rsidRPr="000863B2">
        <w:t>ky není porušen a nevykazuje žádné praskliny ani trhliny.</w:t>
      </w:r>
    </w:p>
    <w:p w14:paraId="272CB5B2" w14:textId="77777777" w:rsidR="00B859CA" w:rsidRPr="000863B2" w:rsidRDefault="00B859CA" w:rsidP="00B859CA">
      <w:pPr>
        <w:pStyle w:val="Textnormy"/>
      </w:pPr>
      <w:r w:rsidRPr="000863B2">
        <w:t xml:space="preserve">U spotřebičů, které mají pod skleněným nebo sklokeramickým povrchem umístěny části pod napětím, musí být splněny požadavky uvedené </w:t>
      </w:r>
      <w:proofErr w:type="gramStart"/>
      <w:r w:rsidRPr="000863B2">
        <w:t>v </w:t>
      </w:r>
      <w:r w:rsidRPr="000863B2">
        <w:rPr>
          <w:rFonts w:ascii="BSsymb9" w:hAnsi="BSsymb9"/>
        </w:rPr>
        <w:t>!</w:t>
      </w:r>
      <w:proofErr w:type="gramEnd"/>
      <w:r w:rsidRPr="000863B2">
        <w:rPr>
          <w:rFonts w:cs="Arial"/>
        </w:rPr>
        <w:t> </w:t>
      </w:r>
      <w:r w:rsidRPr="000863B2">
        <w:rPr>
          <w:i/>
          <w:kern w:val="28"/>
        </w:rPr>
        <w:t>vypuštěný text</w:t>
      </w:r>
      <w:r w:rsidRPr="000863B2">
        <w:rPr>
          <w:rFonts w:cs="Arial"/>
        </w:rPr>
        <w:t> </w:t>
      </w:r>
      <w:proofErr w:type="gramStart"/>
      <w:r w:rsidRPr="000863B2">
        <w:rPr>
          <w:rFonts w:ascii="BSsymb9" w:hAnsi="BSsymb9"/>
        </w:rPr>
        <w:t>"</w:t>
      </w:r>
      <w:r w:rsidRPr="000863B2">
        <w:t> </w:t>
      </w:r>
      <w:r w:rsidRPr="000863B2">
        <w:rPr>
          <w:rFonts w:ascii="BSsymb9" w:hAnsi="BSsymb9"/>
        </w:rPr>
        <w:t>!</w:t>
      </w:r>
      <w:proofErr w:type="gramEnd"/>
      <w:r w:rsidRPr="000863B2">
        <w:rPr>
          <w:rFonts w:cs="Arial"/>
        </w:rPr>
        <w:t> </w:t>
      </w:r>
      <w:r w:rsidRPr="000863B2">
        <w:t>13.3</w:t>
      </w:r>
      <w:r w:rsidRPr="000863B2">
        <w:rPr>
          <w:rFonts w:cs="Arial"/>
        </w:rPr>
        <w:t> </w:t>
      </w:r>
      <w:r w:rsidRPr="000863B2">
        <w:rPr>
          <w:rFonts w:ascii="BSsymb9" w:hAnsi="BSsymb9"/>
        </w:rPr>
        <w:t>"</w:t>
      </w:r>
      <w:r w:rsidRPr="000863B2">
        <w:t> v EN 60335-2-6:1999.</w:t>
      </w:r>
    </w:p>
    <w:p w14:paraId="54D63924" w14:textId="77777777" w:rsidR="00A83EAB" w:rsidRDefault="00A83EAB" w:rsidP="002022C6">
      <w:pPr>
        <w:pStyle w:val="Textnormy"/>
      </w:pPr>
    </w:p>
    <w:sectPr w:rsidR="00A83EAB" w:rsidSect="00AF7E9D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D74A5A" w14:textId="77777777" w:rsidR="005106D5" w:rsidRDefault="005106D5">
      <w:r>
        <w:separator/>
      </w:r>
    </w:p>
  </w:endnote>
  <w:endnote w:type="continuationSeparator" w:id="0">
    <w:p w14:paraId="25DF11E3" w14:textId="77777777" w:rsidR="005106D5" w:rsidRDefault="00510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Ssymb9">
    <w:panose1 w:val="02000000000000000000"/>
    <w:charset w:val="00"/>
    <w:family w:val="auto"/>
    <w:pitch w:val="variable"/>
    <w:sig w:usb0="80000003" w:usb1="00000000" w:usb2="00000000" w:usb3="00000000" w:csb0="00000001" w:csb1="00000000"/>
    <w:embedRegular r:id="rId1" w:subsetted="1" w:fontKey="{56FD2793-7996-4ADC-8073-90DD959EA4E8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2" w:subsetted="1" w:fontKey="{669A382E-160F-4EA7-8145-ADD73CE95BC6}"/>
    <w:embedBold r:id="rId3" w:subsetted="1" w:fontKey="{F806F2F2-7775-4CE2-B580-F7E0095F5DB8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B0FD3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2CDACFFF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3AAEE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04E14AA6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295FD" w14:textId="6F2272AA" w:rsidR="00F34746" w:rsidRPr="00571619" w:rsidRDefault="00571619" w:rsidP="00571619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1CFE00C5" wp14:editId="57705A03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200137676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B9277" w14:textId="77777777" w:rsidR="009F33FC" w:rsidRDefault="00620598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6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76DA1" w14:textId="77777777" w:rsidR="009F33FC" w:rsidRDefault="00620598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5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00497E" w14:textId="77777777" w:rsidR="005106D5" w:rsidRDefault="005106D5">
      <w:r>
        <w:separator/>
      </w:r>
    </w:p>
  </w:footnote>
  <w:footnote w:type="continuationSeparator" w:id="0">
    <w:p w14:paraId="088581F3" w14:textId="77777777" w:rsidR="005106D5" w:rsidRDefault="005106D5">
      <w:r>
        <w:continuationSeparator/>
      </w:r>
    </w:p>
  </w:footnote>
  <w:footnote w:id="1">
    <w:p w14:paraId="79432B8D" w14:textId="5CBC02B5" w:rsidR="00B859CA" w:rsidRDefault="00B859CA" w:rsidP="00B859CA">
      <w:pPr>
        <w:pStyle w:val="Textpoznpodarou"/>
        <w:ind w:left="284" w:hanging="284"/>
      </w:pPr>
      <w:r>
        <w:rPr>
          <w:rStyle w:val="Znakapoznpodarou"/>
        </w:rPr>
        <w:t>1)</w:t>
      </w:r>
      <w:r>
        <w:tab/>
      </w:r>
      <w:r w:rsidRPr="006343C3">
        <w:rPr>
          <w:spacing w:val="-2"/>
        </w:rPr>
        <w:t>ČSN EN 60335-2-6:2000, která přejímala EN 60335-2-6:1999, byla zrušena z důvodu nahrazení evropské normy novějším</w:t>
      </w:r>
      <w:r>
        <w:t xml:space="preserve"> vydáním a je dostupná v </w:t>
      </w:r>
      <w:r w:rsidR="00867263">
        <w:t>zákaznickém</w:t>
      </w:r>
      <w:r>
        <w:t xml:space="preserve"> centru </w:t>
      </w:r>
      <w:r w:rsidR="00867263">
        <w:t>ČAS</w:t>
      </w:r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60765" w14:textId="31587EBF" w:rsidR="00F34746" w:rsidRDefault="00000000">
    <w:pPr>
      <w:pStyle w:val="Zhlav"/>
    </w:pPr>
    <w:r>
      <w:rPr>
        <w:noProof/>
      </w:rPr>
      <w:pict w14:anchorId="6D49554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71972110" o:spid="_x0000_s1028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8C2F0" w14:textId="024E030E" w:rsidR="00F34746" w:rsidRDefault="00000000">
    <w:pPr>
      <w:pStyle w:val="Zhlav"/>
      <w:jc w:val="right"/>
    </w:pPr>
    <w:r>
      <w:rPr>
        <w:noProof/>
      </w:rPr>
      <w:pict w14:anchorId="522F795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71972111" o:spid="_x0000_s1029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E4687" w14:textId="48C2360A" w:rsidR="00AE3BE7" w:rsidRDefault="00000000">
    <w:pPr>
      <w:pStyle w:val="Zhlav"/>
    </w:pPr>
    <w:r>
      <w:rPr>
        <w:noProof/>
      </w:rPr>
      <w:pict w14:anchorId="28C2805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71972109" o:spid="_x0000_s1027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F6D5B" w14:textId="286F2EF1" w:rsidR="009F33FC" w:rsidRDefault="00000000">
    <w:pPr>
      <w:pStyle w:val="Zhlav"/>
    </w:pPr>
    <w:r>
      <w:rPr>
        <w:noProof/>
      </w:rPr>
      <w:pict w14:anchorId="2BCB119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71972113" o:spid="_x0000_s1031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E3BE7">
      <w:t>ČSN EN 30-1-3+A1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2B79A" w14:textId="109E9CB5" w:rsidR="009F33FC" w:rsidRPr="00212896" w:rsidRDefault="00000000" w:rsidP="00212896">
    <w:pPr>
      <w:pStyle w:val="Zhlav"/>
      <w:jc w:val="right"/>
    </w:pPr>
    <w:r>
      <w:rPr>
        <w:noProof/>
      </w:rPr>
      <w:pict w14:anchorId="5B02AC7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71972114" o:spid="_x0000_s1032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E3BE7">
      <w:t>ČSN EN 30-1-3+A1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C9FC7" w14:textId="6A9F8D67" w:rsidR="00AE3BE7" w:rsidRDefault="00000000">
    <w:pPr>
      <w:pStyle w:val="Zhlav"/>
    </w:pPr>
    <w:r>
      <w:rPr>
        <w:noProof/>
      </w:rPr>
      <w:pict w14:anchorId="2FC66F1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71972112" o:spid="_x0000_s1030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797720580">
    <w:abstractNumId w:val="17"/>
  </w:num>
  <w:num w:numId="2" w16cid:durableId="262954239">
    <w:abstractNumId w:val="14"/>
  </w:num>
  <w:num w:numId="3" w16cid:durableId="125123818">
    <w:abstractNumId w:val="15"/>
  </w:num>
  <w:num w:numId="4" w16cid:durableId="1425371912">
    <w:abstractNumId w:val="9"/>
  </w:num>
  <w:num w:numId="5" w16cid:durableId="1035230825">
    <w:abstractNumId w:val="10"/>
  </w:num>
  <w:num w:numId="6" w16cid:durableId="536088783">
    <w:abstractNumId w:val="20"/>
    <w:lvlOverride w:ilvl="0">
      <w:startOverride w:val="1"/>
    </w:lvlOverride>
  </w:num>
  <w:num w:numId="7" w16cid:durableId="1105153609">
    <w:abstractNumId w:val="11"/>
  </w:num>
  <w:num w:numId="8" w16cid:durableId="1853296379">
    <w:abstractNumId w:val="16"/>
  </w:num>
  <w:num w:numId="9" w16cid:durableId="189924567">
    <w:abstractNumId w:val="10"/>
    <w:lvlOverride w:ilvl="0">
      <w:startOverride w:val="1"/>
    </w:lvlOverride>
  </w:num>
  <w:num w:numId="10" w16cid:durableId="1362853706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9CA"/>
    <w:rsid w:val="000122CC"/>
    <w:rsid w:val="00072F44"/>
    <w:rsid w:val="00080B6E"/>
    <w:rsid w:val="000D22A5"/>
    <w:rsid w:val="000D7198"/>
    <w:rsid w:val="000D7CC4"/>
    <w:rsid w:val="00103F06"/>
    <w:rsid w:val="00104C1B"/>
    <w:rsid w:val="0013039D"/>
    <w:rsid w:val="0013058D"/>
    <w:rsid w:val="00135415"/>
    <w:rsid w:val="001567EF"/>
    <w:rsid w:val="00194A2B"/>
    <w:rsid w:val="001B1B5E"/>
    <w:rsid w:val="001B63E7"/>
    <w:rsid w:val="002022C6"/>
    <w:rsid w:val="00210AAE"/>
    <w:rsid w:val="00231D91"/>
    <w:rsid w:val="00236AFC"/>
    <w:rsid w:val="0028489E"/>
    <w:rsid w:val="002B25EE"/>
    <w:rsid w:val="002D43DF"/>
    <w:rsid w:val="002D5565"/>
    <w:rsid w:val="002F6A9A"/>
    <w:rsid w:val="003064DC"/>
    <w:rsid w:val="00307C51"/>
    <w:rsid w:val="00314F2D"/>
    <w:rsid w:val="00342659"/>
    <w:rsid w:val="003578A4"/>
    <w:rsid w:val="00361E7B"/>
    <w:rsid w:val="0037125D"/>
    <w:rsid w:val="0038646B"/>
    <w:rsid w:val="003B0839"/>
    <w:rsid w:val="003C701A"/>
    <w:rsid w:val="004069CB"/>
    <w:rsid w:val="00412CB3"/>
    <w:rsid w:val="004159F3"/>
    <w:rsid w:val="00421B22"/>
    <w:rsid w:val="00433D57"/>
    <w:rsid w:val="00434419"/>
    <w:rsid w:val="00445C34"/>
    <w:rsid w:val="004634EE"/>
    <w:rsid w:val="004B223B"/>
    <w:rsid w:val="004B373B"/>
    <w:rsid w:val="004C5D55"/>
    <w:rsid w:val="004D39AA"/>
    <w:rsid w:val="004F0AD7"/>
    <w:rsid w:val="00503D98"/>
    <w:rsid w:val="005106D5"/>
    <w:rsid w:val="00542CF0"/>
    <w:rsid w:val="0055412A"/>
    <w:rsid w:val="00571619"/>
    <w:rsid w:val="00576ED5"/>
    <w:rsid w:val="005E3B21"/>
    <w:rsid w:val="005E6EAE"/>
    <w:rsid w:val="005F3FCC"/>
    <w:rsid w:val="00620598"/>
    <w:rsid w:val="00640BEF"/>
    <w:rsid w:val="006A3382"/>
    <w:rsid w:val="006B04C9"/>
    <w:rsid w:val="006D2485"/>
    <w:rsid w:val="00714957"/>
    <w:rsid w:val="00734D06"/>
    <w:rsid w:val="00781609"/>
    <w:rsid w:val="00790EC5"/>
    <w:rsid w:val="007B610F"/>
    <w:rsid w:val="007C52DE"/>
    <w:rsid w:val="007E0F61"/>
    <w:rsid w:val="007E23F0"/>
    <w:rsid w:val="007F27A2"/>
    <w:rsid w:val="007F4A22"/>
    <w:rsid w:val="008072A3"/>
    <w:rsid w:val="00831B2F"/>
    <w:rsid w:val="008638F1"/>
    <w:rsid w:val="00867263"/>
    <w:rsid w:val="00872046"/>
    <w:rsid w:val="008918DB"/>
    <w:rsid w:val="008A04E8"/>
    <w:rsid w:val="008A7D3C"/>
    <w:rsid w:val="008C03BC"/>
    <w:rsid w:val="008F4369"/>
    <w:rsid w:val="008F51B6"/>
    <w:rsid w:val="0090499A"/>
    <w:rsid w:val="00923E20"/>
    <w:rsid w:val="00924DBA"/>
    <w:rsid w:val="009266ED"/>
    <w:rsid w:val="00926FCA"/>
    <w:rsid w:val="0093110D"/>
    <w:rsid w:val="00931FE4"/>
    <w:rsid w:val="0095314E"/>
    <w:rsid w:val="00970283"/>
    <w:rsid w:val="00985D80"/>
    <w:rsid w:val="009E0658"/>
    <w:rsid w:val="009F2E2E"/>
    <w:rsid w:val="009F33FC"/>
    <w:rsid w:val="009F6F32"/>
    <w:rsid w:val="00A12852"/>
    <w:rsid w:val="00A3019F"/>
    <w:rsid w:val="00A35993"/>
    <w:rsid w:val="00A83EAB"/>
    <w:rsid w:val="00A848B2"/>
    <w:rsid w:val="00A90C34"/>
    <w:rsid w:val="00AB15EC"/>
    <w:rsid w:val="00AC62A5"/>
    <w:rsid w:val="00AE3BE7"/>
    <w:rsid w:val="00AE7DE2"/>
    <w:rsid w:val="00B04A88"/>
    <w:rsid w:val="00B45C23"/>
    <w:rsid w:val="00B859CA"/>
    <w:rsid w:val="00BB7770"/>
    <w:rsid w:val="00BC1FDE"/>
    <w:rsid w:val="00BE7844"/>
    <w:rsid w:val="00C02CD7"/>
    <w:rsid w:val="00C108C2"/>
    <w:rsid w:val="00C2107C"/>
    <w:rsid w:val="00C30A47"/>
    <w:rsid w:val="00C43BC8"/>
    <w:rsid w:val="00C904AB"/>
    <w:rsid w:val="00CB25D2"/>
    <w:rsid w:val="00D35BBC"/>
    <w:rsid w:val="00D5106D"/>
    <w:rsid w:val="00D52E41"/>
    <w:rsid w:val="00D53D67"/>
    <w:rsid w:val="00D54402"/>
    <w:rsid w:val="00D64213"/>
    <w:rsid w:val="00D85849"/>
    <w:rsid w:val="00DA1989"/>
    <w:rsid w:val="00DE2529"/>
    <w:rsid w:val="00DE412B"/>
    <w:rsid w:val="00DF7237"/>
    <w:rsid w:val="00E12D49"/>
    <w:rsid w:val="00E173FC"/>
    <w:rsid w:val="00E22981"/>
    <w:rsid w:val="00E54908"/>
    <w:rsid w:val="00E64DC6"/>
    <w:rsid w:val="00E74C26"/>
    <w:rsid w:val="00EB1FEE"/>
    <w:rsid w:val="00EB675D"/>
    <w:rsid w:val="00F34746"/>
    <w:rsid w:val="00F415E7"/>
    <w:rsid w:val="00F734B3"/>
    <w:rsid w:val="00F74691"/>
    <w:rsid w:val="00F769F8"/>
    <w:rsid w:val="00F77831"/>
    <w:rsid w:val="00F95F63"/>
    <w:rsid w:val="00FF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8AB5FCD"/>
  <w15:chartTrackingRefBased/>
  <w15:docId w15:val="{9F76DB1A-2F48-4E86-AA2E-437536316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C108C2"/>
  </w:style>
  <w:style w:type="paragraph" w:styleId="Nadpis1">
    <w:name w:val="heading 1"/>
    <w:basedOn w:val="Nadpiskapitoly"/>
    <w:next w:val="Textnormy"/>
    <w:link w:val="Nadpis1Char"/>
    <w:qFormat/>
    <w:rsid w:val="00C108C2"/>
    <w:pPr>
      <w:outlineLvl w:val="0"/>
    </w:pPr>
  </w:style>
  <w:style w:type="paragraph" w:styleId="Nadpis2">
    <w:name w:val="heading 2"/>
    <w:basedOn w:val="Nadpislnku"/>
    <w:next w:val="Textnormy"/>
    <w:qFormat/>
    <w:rsid w:val="00C108C2"/>
    <w:pPr>
      <w:outlineLvl w:val="1"/>
    </w:pPr>
  </w:style>
  <w:style w:type="paragraph" w:styleId="Nadpis3">
    <w:name w:val="heading 3"/>
    <w:basedOn w:val="Nadpislnku"/>
    <w:next w:val="Textnormy"/>
    <w:qFormat/>
    <w:rsid w:val="00C108C2"/>
    <w:pPr>
      <w:outlineLvl w:val="2"/>
    </w:pPr>
  </w:style>
  <w:style w:type="paragraph" w:styleId="Nadpis4">
    <w:name w:val="heading 4"/>
    <w:basedOn w:val="Nadpislnku"/>
    <w:next w:val="Textnormy"/>
    <w:qFormat/>
    <w:rsid w:val="00C108C2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C108C2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C108C2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C108C2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C108C2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C108C2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C108C2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C108C2"/>
  </w:style>
  <w:style w:type="paragraph" w:customStyle="1" w:styleId="Nadpiskapitoly">
    <w:name w:val="Nadpis kapitoly"/>
    <w:basedOn w:val="Nadpislnku"/>
    <w:next w:val="Textnormy"/>
    <w:rsid w:val="00C108C2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C108C2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C108C2"/>
    <w:pPr>
      <w:spacing w:after="120"/>
      <w:jc w:val="both"/>
    </w:pPr>
  </w:style>
  <w:style w:type="paragraph" w:customStyle="1" w:styleId="1StrTrZn">
    <w:name w:val="1StrTrZn"/>
    <w:basedOn w:val="Textnormy"/>
    <w:rsid w:val="00C108C2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C108C2"/>
    <w:pPr>
      <w:spacing w:before="480"/>
    </w:pPr>
  </w:style>
  <w:style w:type="paragraph" w:customStyle="1" w:styleId="1StrNN-1-23">
    <w:name w:val="1StrNN-1-23"/>
    <w:basedOn w:val="Textnormy"/>
    <w:rsid w:val="00C108C2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C108C2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C108C2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C108C2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C108C2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C108C2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C108C2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C108C2"/>
    <w:pPr>
      <w:spacing w:before="0" w:after="120"/>
      <w:ind w:left="284" w:hanging="284"/>
    </w:pPr>
  </w:style>
  <w:style w:type="paragraph" w:styleId="Zhlav">
    <w:name w:val="header"/>
    <w:basedOn w:val="Textnormy"/>
    <w:rsid w:val="00C108C2"/>
    <w:pPr>
      <w:spacing w:after="360"/>
    </w:pPr>
    <w:rPr>
      <w:sz w:val="18"/>
    </w:rPr>
  </w:style>
  <w:style w:type="paragraph" w:styleId="Zpat">
    <w:name w:val="footer"/>
    <w:basedOn w:val="Textnormy"/>
    <w:rsid w:val="00C108C2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C108C2"/>
    <w:pPr>
      <w:spacing w:after="120"/>
    </w:pPr>
  </w:style>
  <w:style w:type="paragraph" w:styleId="Obsah2">
    <w:name w:val="toc 2"/>
    <w:basedOn w:val="Obsah1"/>
    <w:next w:val="Textnormy"/>
    <w:uiPriority w:val="39"/>
    <w:rsid w:val="00C108C2"/>
  </w:style>
  <w:style w:type="paragraph" w:styleId="Obsah1">
    <w:name w:val="toc 1"/>
    <w:basedOn w:val="Textnormy"/>
    <w:next w:val="Textnormy"/>
    <w:uiPriority w:val="39"/>
    <w:rsid w:val="00C108C2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C108C2"/>
    <w:pPr>
      <w:numPr>
        <w:numId w:val="7"/>
      </w:numPr>
    </w:pPr>
  </w:style>
  <w:style w:type="paragraph" w:styleId="Obsah3">
    <w:name w:val="toc 3"/>
    <w:basedOn w:val="Obsah1"/>
    <w:next w:val="Textnormy"/>
    <w:rsid w:val="00C108C2"/>
  </w:style>
  <w:style w:type="paragraph" w:styleId="Obsah4">
    <w:name w:val="toc 4"/>
    <w:basedOn w:val="Obsah1"/>
    <w:next w:val="Textnormy"/>
    <w:uiPriority w:val="39"/>
    <w:rsid w:val="00C108C2"/>
  </w:style>
  <w:style w:type="paragraph" w:styleId="Obsah6">
    <w:name w:val="toc 6"/>
    <w:basedOn w:val="Obsah1"/>
    <w:next w:val="Textnormy"/>
    <w:rsid w:val="00C108C2"/>
  </w:style>
  <w:style w:type="paragraph" w:styleId="Obsah7">
    <w:name w:val="toc 7"/>
    <w:basedOn w:val="Obsah1"/>
    <w:next w:val="Textnormy"/>
    <w:semiHidden/>
    <w:rsid w:val="00C108C2"/>
  </w:style>
  <w:style w:type="paragraph" w:styleId="Obsah8">
    <w:name w:val="toc 8"/>
    <w:basedOn w:val="Obsah1"/>
    <w:next w:val="Textnormy"/>
    <w:semiHidden/>
    <w:rsid w:val="00C108C2"/>
  </w:style>
  <w:style w:type="character" w:styleId="Znakapoznpodarou">
    <w:name w:val="footnote reference"/>
    <w:basedOn w:val="Standardnpsmoodstavce"/>
    <w:rsid w:val="00C108C2"/>
    <w:rPr>
      <w:vertAlign w:val="superscript"/>
    </w:rPr>
  </w:style>
  <w:style w:type="paragraph" w:customStyle="1" w:styleId="ABCseznamCZ">
    <w:name w:val="ABC seznamCZ"/>
    <w:basedOn w:val="Textnormy"/>
    <w:rsid w:val="00C108C2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C108C2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C108C2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C108C2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C108C2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C108C2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C108C2"/>
    <w:pPr>
      <w:ind w:left="1600"/>
    </w:pPr>
  </w:style>
  <w:style w:type="paragraph" w:customStyle="1" w:styleId="1Str1Rad">
    <w:name w:val="1Str1Rad"/>
    <w:basedOn w:val="Textnormy"/>
    <w:rsid w:val="00C108C2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C108C2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C108C2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C108C2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C108C2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C108C2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C108C2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C108C2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C108C2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C108C2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C108C2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C108C2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C108C2"/>
    <w:pPr>
      <w:spacing w:before="300"/>
    </w:pPr>
  </w:style>
  <w:style w:type="paragraph" w:customStyle="1" w:styleId="1StrNN-X">
    <w:name w:val="1StrNN-X"/>
    <w:basedOn w:val="1StrNN-1-23"/>
    <w:rsid w:val="00C108C2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C108C2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C108C2"/>
    <w:pPr>
      <w:spacing w:before="800"/>
    </w:pPr>
  </w:style>
  <w:style w:type="paragraph" w:customStyle="1" w:styleId="1StrNN-2-4">
    <w:name w:val="1StrNN-2-4"/>
    <w:basedOn w:val="1StrNN-1-23"/>
    <w:rsid w:val="00C108C2"/>
  </w:style>
  <w:style w:type="paragraph" w:customStyle="1" w:styleId="1StrNN-3-4">
    <w:name w:val="1StrNN-3-4"/>
    <w:basedOn w:val="1StrNN-1-23"/>
    <w:rsid w:val="00C108C2"/>
    <w:pPr>
      <w:spacing w:before="460"/>
    </w:pPr>
  </w:style>
  <w:style w:type="paragraph" w:customStyle="1" w:styleId="1StrNN-4-4">
    <w:name w:val="1StrNN-4-4"/>
    <w:basedOn w:val="1StrNN-1-23"/>
    <w:rsid w:val="00C108C2"/>
    <w:pPr>
      <w:spacing w:before="340"/>
    </w:pPr>
  </w:style>
  <w:style w:type="paragraph" w:customStyle="1" w:styleId="ABCSeznamUS">
    <w:name w:val="ABC SeznamUS"/>
    <w:basedOn w:val="Textnormy"/>
    <w:rsid w:val="00C108C2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C108C2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C108C2"/>
    <w:pPr>
      <w:jc w:val="left"/>
    </w:pPr>
  </w:style>
  <w:style w:type="paragraph" w:customStyle="1" w:styleId="1StrNN-4-3">
    <w:name w:val="1StrNN-4-3"/>
    <w:basedOn w:val="1StrNN-1-23"/>
    <w:rsid w:val="00C108C2"/>
    <w:pPr>
      <w:spacing w:before="160"/>
    </w:pPr>
  </w:style>
  <w:style w:type="paragraph" w:customStyle="1" w:styleId="Upozornn">
    <w:name w:val="Upozornění"/>
    <w:basedOn w:val="Normln"/>
    <w:rsid w:val="00C108C2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C108C2"/>
  </w:style>
  <w:style w:type="character" w:styleId="Hypertextovodkaz">
    <w:name w:val="Hyperlink"/>
    <w:unhideWhenUsed/>
    <w:rsid w:val="00C108C2"/>
    <w:rPr>
      <w:color w:val="0000FF"/>
      <w:u w:val="single"/>
    </w:rPr>
  </w:style>
  <w:style w:type="table" w:styleId="Mkatabulky">
    <w:name w:val="Table Grid"/>
    <w:basedOn w:val="Normlntabulka"/>
    <w:rsid w:val="00C108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C108C2"/>
    <w:rPr>
      <w:b/>
      <w:sz w:val="24"/>
    </w:rPr>
  </w:style>
  <w:style w:type="character" w:styleId="Odkaznakoment">
    <w:name w:val="annotation reference"/>
    <w:basedOn w:val="Standardnpsmoodstavce"/>
    <w:unhideWhenUsed/>
    <w:rsid w:val="00C108C2"/>
    <w:rPr>
      <w:sz w:val="16"/>
      <w:szCs w:val="16"/>
    </w:rPr>
  </w:style>
  <w:style w:type="paragraph" w:styleId="Textbubliny">
    <w:name w:val="Balloon Text"/>
    <w:basedOn w:val="Normln"/>
    <w:link w:val="TextbublinyChar"/>
    <w:rsid w:val="00C108C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B45C23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C108C2"/>
  </w:style>
  <w:style w:type="character" w:customStyle="1" w:styleId="TextkomenteChar">
    <w:name w:val="Text komentáře Char"/>
    <w:basedOn w:val="Standardnpsmoodstavce"/>
    <w:link w:val="Textkomente"/>
    <w:rsid w:val="00C108C2"/>
  </w:style>
  <w:style w:type="character" w:customStyle="1" w:styleId="TextnormyCharChar">
    <w:name w:val="Text normy Char Char"/>
    <w:semiHidden/>
    <w:rsid w:val="00C108C2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C108C2"/>
  </w:style>
  <w:style w:type="paragraph" w:customStyle="1" w:styleId="NadpisObr">
    <w:name w:val="NadpisObr"/>
    <w:basedOn w:val="Nadpis4"/>
    <w:next w:val="Textnormy"/>
    <w:qFormat/>
    <w:rsid w:val="00C108C2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C108C2"/>
    <w:pPr>
      <w:jc w:val="center"/>
    </w:pPr>
  </w:style>
  <w:style w:type="paragraph" w:customStyle="1" w:styleId="NadpisTabObr">
    <w:name w:val="NadpisTabObr"/>
    <w:basedOn w:val="Nadpislnku"/>
    <w:next w:val="Textnormy"/>
    <w:rsid w:val="00B45C23"/>
    <w:pPr>
      <w:keepNext w:val="0"/>
      <w:jc w:val="center"/>
    </w:pPr>
  </w:style>
  <w:style w:type="character" w:customStyle="1" w:styleId="NadpislnkuChar">
    <w:name w:val="Nadpis článku Char"/>
    <w:link w:val="Nadpislnku"/>
    <w:rsid w:val="00C108C2"/>
    <w:rPr>
      <w:b/>
    </w:rPr>
  </w:style>
  <w:style w:type="character" w:styleId="Sledovanodkaz">
    <w:name w:val="FollowedHyperlink"/>
    <w:basedOn w:val="Standardnpsmoodstavce"/>
    <w:semiHidden/>
    <w:unhideWhenUsed/>
    <w:rsid w:val="00C108C2"/>
    <w:rPr>
      <w:color w:val="954F72" w:themeColor="followedHyperlink"/>
      <w:u w:val="single"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108C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108C2"/>
    <w:rPr>
      <w:b/>
      <w:bCs/>
    </w:rPr>
  </w:style>
  <w:style w:type="character" w:customStyle="1" w:styleId="cf01">
    <w:name w:val="cf01"/>
    <w:basedOn w:val="Standardnpsmoodstavce"/>
    <w:rsid w:val="00C108C2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2.emf"/><Relationship Id="rId10" Type="http://schemas.openxmlformats.org/officeDocument/2006/relationships/footer" Target="foot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0</TotalTime>
  <Pages>6</Pages>
  <Words>1276</Words>
  <Characters>7529</Characters>
  <Application>Microsoft Office Word</Application>
  <DocSecurity>0</DocSecurity>
  <Lines>62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8788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Ediční oddělení</dc:creator>
  <cp:keywords/>
  <cp:lastModifiedBy>Koutská Miloslava</cp:lastModifiedBy>
  <cp:revision>2</cp:revision>
  <cp:lastPrinted>2020-10-29T07:20:00Z</cp:lastPrinted>
  <dcterms:created xsi:type="dcterms:W3CDTF">2025-05-26T04:21:00Z</dcterms:created>
  <dcterms:modified xsi:type="dcterms:W3CDTF">2025-05-26T04:21:00Z</dcterms:modified>
</cp:coreProperties>
</file>