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12D5A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2B83B7B" wp14:editId="40CE88B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9DF9E7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1F5C02C" w14:textId="030932F6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7A4F98" w:rsidRPr="007A4F98">
        <w:rPr>
          <w:sz w:val="16"/>
        </w:rPr>
        <w:t>33.060.20; 33.100.01</w:t>
      </w:r>
      <w:r>
        <w:tab/>
      </w:r>
      <w:r>
        <w:tab/>
      </w:r>
      <w:r w:rsidR="007A4F98" w:rsidRPr="007A4F98">
        <w:rPr>
          <w:b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8"/>
        <w:gridCol w:w="2835"/>
      </w:tblGrid>
      <w:tr w:rsidR="00A83EAB" w14:paraId="70A38076" w14:textId="77777777" w:rsidTr="007A4F98">
        <w:trPr>
          <w:cantSplit/>
          <w:trHeight w:val="1701"/>
        </w:trPr>
        <w:tc>
          <w:tcPr>
            <w:tcW w:w="7088" w:type="dxa"/>
          </w:tcPr>
          <w:p w14:paraId="1BDA0FBC" w14:textId="2BD3522D" w:rsidR="00A83EAB" w:rsidRDefault="007A4F98" w:rsidP="007A4F98">
            <w:pPr>
              <w:pStyle w:val="1StrNN-X"/>
            </w:pPr>
            <w:r>
              <w:t xml:space="preserve">Elektromagnetická kompatibilita a rádiové spektrum (ERM) – Pozemní rádiové vysílače, přijímače a sestavy vysílač/přijímač UHF </w:t>
            </w:r>
            <w:r>
              <w:br/>
              <w:t xml:space="preserve">pro leteckou pohyblivou službu UHF, </w:t>
            </w:r>
            <w:r>
              <w:br/>
              <w:t xml:space="preserve">používající amplitudovou modulaci – </w:t>
            </w:r>
            <w:r>
              <w:br/>
              <w:t>Část 2: Harmonizovaná EN pokrývající základní požadavky článku 3.2 Směrnice R&amp;TTE</w:t>
            </w:r>
          </w:p>
        </w:tc>
        <w:tc>
          <w:tcPr>
            <w:tcW w:w="2835" w:type="dxa"/>
          </w:tcPr>
          <w:p w14:paraId="12D672D9" w14:textId="43976926" w:rsidR="007A4F98" w:rsidRDefault="007A4F98" w:rsidP="007A4F98">
            <w:pPr>
              <w:pStyle w:val="1StrCN"/>
            </w:pPr>
            <w:r>
              <w:t>ČSN</w:t>
            </w:r>
            <w:r>
              <w:br/>
              <w:t>ETSI EN 302 617-2</w:t>
            </w:r>
            <w:r>
              <w:br/>
            </w:r>
            <w:r w:rsidRPr="00603B33">
              <w:rPr>
                <w:b w:val="0"/>
                <w:bCs/>
                <w:sz w:val="28"/>
                <w:szCs w:val="28"/>
              </w:rPr>
              <w:t>V1.1.1</w:t>
            </w:r>
            <w:r>
              <w:br/>
            </w:r>
            <w:r>
              <w:br/>
            </w:r>
          </w:p>
          <w:p w14:paraId="17353E4B" w14:textId="4800B3D7" w:rsidR="00A83EAB" w:rsidRDefault="007A4F98" w:rsidP="007A4F98">
            <w:pPr>
              <w:pStyle w:val="1StrTrZn"/>
              <w:spacing w:before="340"/>
            </w:pPr>
            <w:r>
              <w:t>87 5149</w:t>
            </w:r>
          </w:p>
        </w:tc>
      </w:tr>
    </w:tbl>
    <w:p w14:paraId="4B841811" w14:textId="77777777" w:rsidR="00A83EAB" w:rsidRDefault="00A83EAB">
      <w:pPr>
        <w:pStyle w:val="Shodnost"/>
      </w:pPr>
    </w:p>
    <w:p w14:paraId="7FBF6AB1" w14:textId="2DBE9D01" w:rsidR="007A4F98" w:rsidRDefault="007A4F98" w:rsidP="007A4F98">
      <w:pPr>
        <w:pStyle w:val="Cizojazynnzev"/>
      </w:pPr>
      <w:r>
        <w:t xml:space="preserve">Electromagnetic compatibility and Radio spectrum Matters (ERM) – Ground-based UHF radio transmitters, receivers and transceivers for the UHF aeronautical mobile service using amplitude modulation – </w:t>
      </w:r>
      <w:r w:rsidR="00B1707B">
        <w:br/>
      </w:r>
      <w:r>
        <w:t>Part 2: Harmonized EN covering the essential requirements of article 3.2 of the R&amp;TTE Directive</w:t>
      </w:r>
    </w:p>
    <w:p w14:paraId="6D6CF4A5" w14:textId="77777777" w:rsidR="007A4F98" w:rsidRDefault="007A4F98" w:rsidP="007A4F98">
      <w:pPr>
        <w:pStyle w:val="Textnormy"/>
        <w:spacing w:before="840"/>
      </w:pPr>
      <w:r>
        <w:t>Tato norma přejímá anglickou verzi evropské normy ETSI EN 302 617-2 V1.1.1:2010. Má stejný status jako oficiální verze.</w:t>
      </w:r>
    </w:p>
    <w:p w14:paraId="07F250F6" w14:textId="77777777" w:rsidR="007A4F98" w:rsidRDefault="007A4F98" w:rsidP="007A4F98">
      <w:pPr>
        <w:pStyle w:val="Textnormy"/>
      </w:pPr>
      <w:r>
        <w:t>This standard implements the English version of the European Standard ETSI EN 302 617-2 V1.1.1:2010. It has the same status as the official version.</w:t>
      </w:r>
    </w:p>
    <w:p w14:paraId="761899F2" w14:textId="77777777" w:rsidR="007A4F98" w:rsidRDefault="007A4F98" w:rsidP="007A4F98">
      <w:pPr>
        <w:pStyle w:val="Nadpislnku"/>
      </w:pPr>
      <w:r>
        <w:t>Anotace obsahu</w:t>
      </w:r>
    </w:p>
    <w:p w14:paraId="259C1EEA" w14:textId="55C2224F" w:rsidR="00A83EAB" w:rsidRDefault="007A4F98" w:rsidP="007A4F98">
      <w:pPr>
        <w:pStyle w:val="Textnormy"/>
      </w:pPr>
      <w:r>
        <w:t xml:space="preserve">Tato norma platí pro pozemní základnové stanice AM DSB s odstupy kanálů 25 kHz určené pro analogový hovor. Rozsah platnosti této normy je omezen na pozemní vysílače, přijímače a sestavy vysílač/přijímač. Tyto typy </w:t>
      </w:r>
      <w:r>
        <w:br/>
        <w:t xml:space="preserve">rádiových zařízení jsou schopné provozu v celém leteckém kmitočtovém pásmu nebo v jakékoli jeho části mezi 225 MHz a 399,975 MHz. Tato norma je určena k pokrytí ustanovení článku 3.2 Směrnice 1999/5/ES (Směrnice R&amp;TTE), který stanoví, že „...rádiová zařízení musí být konstruována tak, aby efektivně využívala spektrum </w:t>
      </w:r>
      <w:r>
        <w:br/>
        <w:t xml:space="preserve">přidělené zemským/kosmickým radiokomunikacím a technickým prostředkům umístěným na oběžné dráze, aby se zabránilo škodlivému rušení“. Navíc k této normě mohou platit pro zařízení v rozsahu platnosti této normy </w:t>
      </w:r>
      <w:r>
        <w:br/>
        <w:t>i jiné EN, které specifikují technické požadavky v souvislosti se základními požadavky podle jiných částí článku 3 Směrnice R&amp;TTE a rovněž se základními požadavky podle nařízení o interoperabilitě jednotného evropského nebe (v platném znění) a souvisejícími implementačními pravidly.</w:t>
      </w:r>
    </w:p>
    <w:p w14:paraId="715ACF92" w14:textId="77777777" w:rsidR="00A83EAB" w:rsidRDefault="00A83EAB">
      <w:pPr>
        <w:pStyle w:val="Textnormy"/>
      </w:pPr>
    </w:p>
    <w:p w14:paraId="43DA08B4" w14:textId="77777777" w:rsidR="00A83EAB" w:rsidRDefault="00A83EAB">
      <w:pPr>
        <w:pStyle w:val="Textnormy"/>
        <w:tabs>
          <w:tab w:val="right" w:pos="9923"/>
        </w:tabs>
      </w:pPr>
    </w:p>
    <w:p w14:paraId="1E8CB43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FA26AB9" w14:textId="77777777" w:rsidR="007A4F98" w:rsidRDefault="007A4F98" w:rsidP="007A4F98">
      <w:pPr>
        <w:pStyle w:val="Nadpiskapitoly"/>
        <w:spacing w:before="0"/>
      </w:pPr>
      <w:r>
        <w:lastRenderedPageBreak/>
        <w:t>Národní předmluva</w:t>
      </w:r>
    </w:p>
    <w:p w14:paraId="54E516B2" w14:textId="01F5E7AA" w:rsidR="007A4F98" w:rsidRPr="006A4F7D" w:rsidRDefault="007A4F98" w:rsidP="007A4F98">
      <w:pPr>
        <w:pStyle w:val="Textnormy"/>
      </w:pPr>
      <w:r w:rsidRPr="006A4F7D">
        <w:t>Termín „harmonizovaná norma“ uvedený v</w:t>
      </w:r>
      <w:r>
        <w:t> </w:t>
      </w:r>
      <w:r w:rsidRPr="006A4F7D">
        <w:t>názvu ČSN je českým překladem termínu uvedeného v</w:t>
      </w:r>
      <w:r>
        <w:t> </w:t>
      </w:r>
      <w:r w:rsidRPr="006A4F7D">
        <w:t xml:space="preserve">názvu </w:t>
      </w:r>
      <w:r w:rsidRPr="006A4F7D">
        <w:br/>
        <w:t>evropské normy. V</w:t>
      </w:r>
      <w:r>
        <w:t> </w:t>
      </w:r>
      <w:r w:rsidRPr="006A4F7D">
        <w:t>České republice se stává tato ČSN harmonizovanou ve smyslu §</w:t>
      </w:r>
      <w:r>
        <w:t> </w:t>
      </w:r>
      <w:r w:rsidRPr="006A4F7D">
        <w:t>4a zákona č. 22/1997 Sb., o</w:t>
      </w:r>
      <w:r>
        <w:t> </w:t>
      </w:r>
      <w:r w:rsidRPr="006A4F7D">
        <w:t>technických požadavcích na výrobky a</w:t>
      </w:r>
      <w:r>
        <w:t> </w:t>
      </w:r>
      <w:r w:rsidRPr="006A4F7D">
        <w:t>o změně a</w:t>
      </w:r>
      <w:r>
        <w:t> </w:t>
      </w:r>
      <w:r w:rsidRPr="006A4F7D">
        <w:t xml:space="preserve">doplnění některých zákonů, ve znění pozdějších změn, </w:t>
      </w:r>
      <w:r>
        <w:br/>
      </w:r>
      <w:r w:rsidRPr="006A4F7D">
        <w:t>přejímá-li plně požadavky harmonizované evropské normy. Tuto skutečnost Úřad pro technickou normalizaci, metrologii a</w:t>
      </w:r>
      <w:r>
        <w:t> </w:t>
      </w:r>
      <w:r w:rsidRPr="006A4F7D">
        <w:t>státní zkušebnictví oznámí ve Věstníku Úřadu pro technickou normalizaci, metrologii a</w:t>
      </w:r>
      <w:r>
        <w:t> </w:t>
      </w:r>
      <w:r w:rsidRPr="006A4F7D">
        <w:t>státní zkušebnictví s</w:t>
      </w:r>
      <w:r>
        <w:t> </w:t>
      </w:r>
      <w:r w:rsidRPr="006A4F7D">
        <w:t>uvedením technického předpisu České republiky, ke kterému se tato norma vztahuje, a</w:t>
      </w:r>
      <w:r>
        <w:t> </w:t>
      </w:r>
      <w:r w:rsidRPr="006A4F7D">
        <w:t>s odkazem na odpovídající harmonizovanou evropskou normu uveřejněnou v</w:t>
      </w:r>
      <w:r>
        <w:t> </w:t>
      </w:r>
      <w:r w:rsidRPr="006A4F7D">
        <w:t>Úředním věstníku Evropské unie.</w:t>
      </w:r>
    </w:p>
    <w:p w14:paraId="73A47C2F" w14:textId="1053D214" w:rsidR="007A4F98" w:rsidRPr="006A4F7D" w:rsidRDefault="007A4F98" w:rsidP="007A4F98">
      <w:pPr>
        <w:pStyle w:val="Nadpislnku"/>
      </w:pPr>
      <w:r w:rsidRPr="006A4F7D">
        <w:t>Informace o</w:t>
      </w:r>
      <w:r>
        <w:t> </w:t>
      </w:r>
      <w:r w:rsidRPr="006A4F7D">
        <w:t>citovaných dokumentech</w:t>
      </w:r>
    </w:p>
    <w:p w14:paraId="083D08E5" w14:textId="6BD172B6" w:rsidR="007A4F98" w:rsidRPr="006A4F7D" w:rsidRDefault="007A4F98" w:rsidP="007A4F98">
      <w:pPr>
        <w:pStyle w:val="Textnormy"/>
      </w:pPr>
      <w:r w:rsidRPr="006A4F7D">
        <w:t>ETSI EN 302 617-1 V1.1.1</w:t>
      </w:r>
      <w:r w:rsidRPr="006A4F7D">
        <w:t> </w:t>
      </w:r>
      <w:r w:rsidRPr="006A4F7D">
        <w:t>zavedena v</w:t>
      </w:r>
      <w:r>
        <w:t> </w:t>
      </w:r>
      <w:r w:rsidRPr="006A4F7D">
        <w:t>ČSN ETSI EN 302 617-1 V1.1.1 (87 5149) Elektromagnetická kompatibilita a</w:t>
      </w:r>
      <w:r>
        <w:t> </w:t>
      </w:r>
      <w:r w:rsidRPr="006A4F7D">
        <w:t>rádiové spektrum (ERM)</w:t>
      </w:r>
      <w:r>
        <w:t xml:space="preserve"> – </w:t>
      </w:r>
      <w:r w:rsidRPr="006A4F7D">
        <w:t>Pozemní radiové vysílače, přijímače a</w:t>
      </w:r>
      <w:r>
        <w:t> </w:t>
      </w:r>
      <w:r w:rsidRPr="006A4F7D">
        <w:t>sestavy přijímač/vysílač UHF pro leteckou pohyblivou službu UHF, používající amplitudovou modulaci</w:t>
      </w:r>
      <w:r>
        <w:t xml:space="preserve"> – </w:t>
      </w:r>
      <w:r w:rsidRPr="006A4F7D">
        <w:t>Část 1: Technické vlastnosti a</w:t>
      </w:r>
      <w:r>
        <w:t> </w:t>
      </w:r>
      <w:r w:rsidRPr="006A4F7D">
        <w:t>metody měření</w:t>
      </w:r>
    </w:p>
    <w:p w14:paraId="288AE95F" w14:textId="06161B35" w:rsidR="007A4F98" w:rsidRPr="006A4F7D" w:rsidRDefault="007A4F98" w:rsidP="007A4F98">
      <w:pPr>
        <w:pStyle w:val="Textnormy"/>
      </w:pPr>
      <w:r w:rsidRPr="006A4F7D">
        <w:t>ETSI EN 300 113-1 V1.6.2</w:t>
      </w:r>
      <w:r w:rsidRPr="006A4F7D">
        <w:t> </w:t>
      </w:r>
      <w:r w:rsidRPr="006A4F7D">
        <w:t>zavedena v</w:t>
      </w:r>
      <w:r>
        <w:t> </w:t>
      </w:r>
      <w:r w:rsidRPr="006A4F7D">
        <w:t>ČSN ETSI EN 300 113-1 V1.6.2 (87 5005) Elektromagnetická kompatibilita a</w:t>
      </w:r>
      <w:r>
        <w:t> </w:t>
      </w:r>
      <w:r w:rsidRPr="006A4F7D">
        <w:t>rádiové spektrum (ERM)</w:t>
      </w:r>
      <w:r>
        <w:t xml:space="preserve"> – </w:t>
      </w:r>
      <w:r w:rsidRPr="006A4F7D">
        <w:t>Pozemní pohyblivá služba</w:t>
      </w:r>
      <w:r>
        <w:t xml:space="preserve"> – </w:t>
      </w:r>
      <w:r w:rsidRPr="006A4F7D">
        <w:t>Rádiová zařízení s</w:t>
      </w:r>
      <w:r>
        <w:t> </w:t>
      </w:r>
      <w:r w:rsidRPr="006A4F7D">
        <w:t>anténním konektorem určená pro přenos dat (a/nebo hovoru), používající modulaci s</w:t>
      </w:r>
      <w:r>
        <w:t> </w:t>
      </w:r>
      <w:r w:rsidRPr="006A4F7D">
        <w:t>konstantní nebo proměnnou obálkou</w:t>
      </w:r>
      <w:r>
        <w:t xml:space="preserve"> – </w:t>
      </w:r>
      <w:r w:rsidRPr="006A4F7D">
        <w:t>Část 1: Technické vlastnosti a</w:t>
      </w:r>
      <w:r>
        <w:t> </w:t>
      </w:r>
      <w:r w:rsidRPr="006A4F7D">
        <w:t>metody měření</w:t>
      </w:r>
    </w:p>
    <w:p w14:paraId="7427B37B" w14:textId="3726A193" w:rsidR="007A4F98" w:rsidRPr="006A4F7D" w:rsidRDefault="007A4F98" w:rsidP="007A4F98">
      <w:pPr>
        <w:pStyle w:val="Textnormy"/>
      </w:pPr>
      <w:r w:rsidRPr="006A4F7D">
        <w:t>ETSI TR 100 028 (soubor)</w:t>
      </w:r>
      <w:r w:rsidRPr="006A4F7D">
        <w:t> </w:t>
      </w:r>
      <w:r w:rsidR="00B1707B">
        <w:t xml:space="preserve">dosud </w:t>
      </w:r>
      <w:r w:rsidRPr="006A4F7D">
        <w:t>nezaveden</w:t>
      </w:r>
    </w:p>
    <w:p w14:paraId="321D6AF3" w14:textId="77777777" w:rsidR="007A4F98" w:rsidRPr="006A4F7D" w:rsidRDefault="007A4F98" w:rsidP="007A4F98">
      <w:pPr>
        <w:pStyle w:val="Textnormy"/>
      </w:pPr>
      <w:r w:rsidRPr="006A4F7D">
        <w:t>ETSI EG 201 399</w:t>
      </w:r>
      <w:r w:rsidRPr="006A4F7D">
        <w:t> </w:t>
      </w:r>
      <w:r w:rsidRPr="006A4F7D">
        <w:t>nezaveden</w:t>
      </w:r>
    </w:p>
    <w:p w14:paraId="2D9CAA18" w14:textId="7A8ED73C" w:rsidR="007A4F98" w:rsidRPr="006A4F7D" w:rsidRDefault="007A4F98" w:rsidP="007A4F98">
      <w:pPr>
        <w:pStyle w:val="Poznmka"/>
      </w:pPr>
      <w:r w:rsidRPr="006A4F7D">
        <w:t>POZNÁMKA</w:t>
      </w:r>
      <w:r w:rsidRPr="006A4F7D">
        <w:t> </w:t>
      </w:r>
      <w:r w:rsidRPr="006A4F7D">
        <w:t>Pokud jsou v</w:t>
      </w:r>
      <w:r>
        <w:t> </w:t>
      </w:r>
      <w:r w:rsidRPr="006A4F7D">
        <w:t>originálu normy citovány nezaváděné dokumenty ETR, TBR, ES, EG, TS, TR a</w:t>
      </w:r>
      <w:r>
        <w:t> </w:t>
      </w:r>
      <w:r w:rsidRPr="006A4F7D">
        <w:t xml:space="preserve">GSM, jsou </w:t>
      </w:r>
      <w:r>
        <w:br/>
      </w:r>
      <w:r w:rsidRPr="006A4F7D">
        <w:t>dostupné v</w:t>
      </w:r>
      <w:r>
        <w:t> </w:t>
      </w:r>
      <w:r w:rsidRPr="006A4F7D">
        <w:t>zákaznickém centru ČAS.</w:t>
      </w:r>
    </w:p>
    <w:p w14:paraId="6E362EF0" w14:textId="77777777" w:rsidR="007A4F98" w:rsidRPr="006A4F7D" w:rsidRDefault="007A4F98" w:rsidP="007A4F98">
      <w:pPr>
        <w:pStyle w:val="Nadpislnku"/>
      </w:pPr>
      <w:r w:rsidRPr="006A4F7D">
        <w:t>Citované předpisy</w:t>
      </w:r>
    </w:p>
    <w:p w14:paraId="2FB38D52" w14:textId="33B19F66" w:rsidR="007A4F98" w:rsidRPr="006A4F7D" w:rsidRDefault="007A4F98" w:rsidP="007A4F98">
      <w:pPr>
        <w:pStyle w:val="Textnormy"/>
      </w:pPr>
      <w:r w:rsidRPr="004776F2">
        <w:t>Směrnice Evropského parlamentu a</w:t>
      </w:r>
      <w:r>
        <w:t> </w:t>
      </w:r>
      <w:r w:rsidRPr="004776F2">
        <w:t>Rady 1999/5/ES (1999/5/EC) z</w:t>
      </w:r>
      <w:r>
        <w:t> </w:t>
      </w:r>
      <w:r w:rsidRPr="004776F2">
        <w:t>9. března 1999, o</w:t>
      </w:r>
      <w:r>
        <w:t> </w:t>
      </w:r>
      <w:r w:rsidRPr="004776F2">
        <w:t>rádiových a</w:t>
      </w:r>
      <w:r>
        <w:t> </w:t>
      </w:r>
      <w:r w:rsidRPr="004776F2">
        <w:t>telekomunikačních koncových zařízeních a</w:t>
      </w:r>
      <w:r>
        <w:t> </w:t>
      </w:r>
      <w:r w:rsidRPr="004776F2">
        <w:t>vzájemném uznávání jejich shody. V</w:t>
      </w:r>
      <w:r>
        <w:t> </w:t>
      </w:r>
      <w:r w:rsidRPr="004776F2">
        <w:t>České republice je tato směrnice zavedena nařízením vlády č. 426/2000 Sb., kterým se stanoví technické požadavky na rádiová a</w:t>
      </w:r>
      <w:r>
        <w:t> </w:t>
      </w:r>
      <w:r w:rsidRPr="004776F2">
        <w:t>na telekomunikační koncová zařízení ve znění nařízení vlády č. 483/2002 Sb. a</w:t>
      </w:r>
      <w:r>
        <w:t> </w:t>
      </w:r>
      <w:r w:rsidRPr="004776F2">
        <w:t>nařízení vlády č. 251/2003 Sb. v</w:t>
      </w:r>
      <w:r>
        <w:t> </w:t>
      </w:r>
      <w:r w:rsidRPr="004776F2">
        <w:t>platném znění.</w:t>
      </w:r>
    </w:p>
    <w:p w14:paraId="16415E6E" w14:textId="7F2D0668" w:rsidR="007A4F98" w:rsidRPr="006A4F7D" w:rsidRDefault="007A4F98" w:rsidP="007A4F98">
      <w:pPr>
        <w:pStyle w:val="Textnormy"/>
      </w:pPr>
      <w:r w:rsidRPr="007D7D51">
        <w:rPr>
          <w:rFonts w:cs="Arial"/>
        </w:rPr>
        <w:t>Nařízení Evropského parlamentu a</w:t>
      </w:r>
      <w:r>
        <w:rPr>
          <w:rFonts w:cs="Arial"/>
        </w:rPr>
        <w:t> </w:t>
      </w:r>
      <w:r w:rsidRPr="007D7D51">
        <w:rPr>
          <w:rFonts w:cs="Arial"/>
        </w:rPr>
        <w:t>Rady 552/2004 (ES) z</w:t>
      </w:r>
      <w:r>
        <w:rPr>
          <w:rFonts w:cs="Arial"/>
        </w:rPr>
        <w:t> </w:t>
      </w:r>
      <w:r w:rsidRPr="007D7D51">
        <w:rPr>
          <w:rFonts w:cs="Arial"/>
        </w:rPr>
        <w:t>10. března 2004, o</w:t>
      </w:r>
      <w:r>
        <w:rPr>
          <w:rFonts w:cs="Arial"/>
        </w:rPr>
        <w:t> </w:t>
      </w:r>
      <w:r w:rsidRPr="007D7D51">
        <w:rPr>
          <w:rFonts w:cs="Arial"/>
        </w:rPr>
        <w:t>interoperabilitě evropské sítě řízení letového provozu (nařízení o</w:t>
      </w:r>
      <w:r>
        <w:rPr>
          <w:rFonts w:cs="Arial"/>
        </w:rPr>
        <w:t> </w:t>
      </w:r>
      <w:r w:rsidRPr="007D7D51">
        <w:rPr>
          <w:rFonts w:cs="Arial"/>
        </w:rPr>
        <w:t>interoperabilitě), Úřední věstník L96, 31. 03. 2004, str. 26-42; změněné nařízením č. 1070/2009 Evropského parlamentu a</w:t>
      </w:r>
      <w:r>
        <w:rPr>
          <w:rFonts w:cs="Arial"/>
        </w:rPr>
        <w:t> </w:t>
      </w:r>
      <w:r w:rsidRPr="007D7D51">
        <w:rPr>
          <w:rFonts w:cs="Arial"/>
        </w:rPr>
        <w:t>Rady z</w:t>
      </w:r>
      <w:r>
        <w:rPr>
          <w:rFonts w:cs="Arial"/>
        </w:rPr>
        <w:t> </w:t>
      </w:r>
      <w:r w:rsidRPr="007D7D51">
        <w:rPr>
          <w:rFonts w:cs="Arial"/>
        </w:rPr>
        <w:t>21. října 2009, Úřední věstník L300/34, 14/11/2009. V</w:t>
      </w:r>
      <w:r>
        <w:rPr>
          <w:rFonts w:cs="Arial"/>
        </w:rPr>
        <w:t> </w:t>
      </w:r>
      <w:r w:rsidRPr="007D7D51">
        <w:rPr>
          <w:rFonts w:cs="Arial"/>
        </w:rPr>
        <w:t>České republice není toto nařízení zavedeno nařízením vlády, jedná se o</w:t>
      </w:r>
      <w:r>
        <w:rPr>
          <w:rFonts w:cs="Arial"/>
        </w:rPr>
        <w:t> </w:t>
      </w:r>
      <w:r w:rsidRPr="007D7D51">
        <w:rPr>
          <w:rFonts w:cs="Arial"/>
        </w:rPr>
        <w:t xml:space="preserve">přímo použitelný předpis, který je aplikován zákonem č. </w:t>
      </w:r>
      <w:hyperlink r:id="rId13" w:history="1">
        <w:r w:rsidRPr="006A4F7D">
          <w:rPr>
            <w:rFonts w:ascii="Helv" w:hAnsi="Helv" w:cs="Helv"/>
            <w:color w:val="000000"/>
          </w:rPr>
          <w:t>49/1997 Sb</w:t>
        </w:r>
      </w:hyperlink>
      <w:r w:rsidRPr="007D7D51">
        <w:rPr>
          <w:rFonts w:cs="Arial"/>
        </w:rPr>
        <w:t>.</w:t>
      </w:r>
    </w:p>
    <w:p w14:paraId="64D05B0E" w14:textId="067B69BE" w:rsidR="007A4F98" w:rsidRPr="006A4F7D" w:rsidRDefault="007A4F98" w:rsidP="007A4F98">
      <w:pPr>
        <w:pStyle w:val="Textnormy"/>
      </w:pPr>
      <w:r w:rsidRPr="007D7D51">
        <w:rPr>
          <w:rFonts w:cs="Arial"/>
        </w:rPr>
        <w:t>Směrnice Evropského parlamentu a</w:t>
      </w:r>
      <w:r>
        <w:rPr>
          <w:rFonts w:cs="Arial"/>
        </w:rPr>
        <w:t> </w:t>
      </w:r>
      <w:r w:rsidRPr="007D7D51">
        <w:rPr>
          <w:rFonts w:cs="Arial"/>
        </w:rPr>
        <w:t>Rady (EU) 2015/1535 ze dne 9. září 2015 o</w:t>
      </w:r>
      <w:r>
        <w:rPr>
          <w:rFonts w:cs="Arial"/>
        </w:rPr>
        <w:t> </w:t>
      </w:r>
      <w:r w:rsidRPr="007D7D51">
        <w:rPr>
          <w:rFonts w:cs="Arial"/>
        </w:rPr>
        <w:t>postupu při poskytování informací v</w:t>
      </w:r>
      <w:r>
        <w:rPr>
          <w:rFonts w:cs="Arial"/>
        </w:rPr>
        <w:t> </w:t>
      </w:r>
      <w:r w:rsidRPr="007D7D51">
        <w:rPr>
          <w:rFonts w:cs="Arial"/>
        </w:rPr>
        <w:t>oblasti technických předpisů a</w:t>
      </w:r>
      <w:r>
        <w:rPr>
          <w:rFonts w:cs="Arial"/>
        </w:rPr>
        <w:t> </w:t>
      </w:r>
      <w:r w:rsidRPr="007D7D51">
        <w:rPr>
          <w:rFonts w:cs="Arial"/>
        </w:rPr>
        <w:t>předpisů pro služby informační společnosti, která byla</w:t>
      </w:r>
      <w:r w:rsidRPr="006A4F7D">
        <w:rPr>
          <w:rFonts w:ascii="Helv" w:hAnsi="Helv" w:cs="Helv"/>
          <w:b/>
          <w:bCs/>
          <w:color w:val="000000"/>
        </w:rPr>
        <w:t xml:space="preserve"> </w:t>
      </w:r>
      <w:r w:rsidRPr="007D7D51">
        <w:rPr>
          <w:rFonts w:cs="Arial"/>
        </w:rPr>
        <w:t>zveřejněna</w:t>
      </w:r>
      <w:r>
        <w:rPr>
          <w:rFonts w:cs="Arial"/>
        </w:rPr>
        <w:t xml:space="preserve"> </w:t>
      </w:r>
      <w:r w:rsidRPr="007D7D51">
        <w:rPr>
          <w:rFonts w:cs="Arial"/>
        </w:rPr>
        <w:t>v Úředním věstníku EU dne 17. září 2015 a</w:t>
      </w:r>
      <w:r>
        <w:rPr>
          <w:rFonts w:cs="Arial"/>
        </w:rPr>
        <w:t> </w:t>
      </w:r>
      <w:r w:rsidRPr="007D7D51">
        <w:rPr>
          <w:rFonts w:cs="Arial"/>
        </w:rPr>
        <w:t>vstoupila v</w:t>
      </w:r>
      <w:r>
        <w:rPr>
          <w:rFonts w:cs="Arial"/>
        </w:rPr>
        <w:t> </w:t>
      </w:r>
      <w:r w:rsidRPr="007D7D51">
        <w:rPr>
          <w:rFonts w:cs="Arial"/>
        </w:rPr>
        <w:t xml:space="preserve">platnost dne 7. října 2015, je kodifikovaným nahrazením </w:t>
      </w:r>
      <w:r w:rsidRPr="007D7D51">
        <w:rPr>
          <w:rFonts w:cs="Arial"/>
          <w:bCs/>
        </w:rPr>
        <w:t>s</w:t>
      </w:r>
      <w:r w:rsidRPr="007D7D51">
        <w:rPr>
          <w:rFonts w:cs="Arial"/>
        </w:rPr>
        <w:t>měrnice 98/34/ES (98/34/EC). Transpozičními předpisy směrnice Evropského parlamentu a</w:t>
      </w:r>
      <w:r>
        <w:rPr>
          <w:rFonts w:cs="Arial"/>
        </w:rPr>
        <w:t> </w:t>
      </w:r>
      <w:r w:rsidRPr="007D7D51">
        <w:rPr>
          <w:rFonts w:cs="Arial"/>
        </w:rPr>
        <w:t>Rady 2015/1535/EU zůstávají zákon č. 22/1997 Sb., o</w:t>
      </w:r>
      <w:r>
        <w:rPr>
          <w:rFonts w:cs="Arial"/>
        </w:rPr>
        <w:t> </w:t>
      </w:r>
      <w:r w:rsidRPr="007D7D51">
        <w:rPr>
          <w:rFonts w:cs="Arial"/>
        </w:rPr>
        <w:t>technických požadavcích na výrobky a</w:t>
      </w:r>
      <w:r>
        <w:rPr>
          <w:rFonts w:cs="Arial"/>
        </w:rPr>
        <w:t> </w:t>
      </w:r>
      <w:r w:rsidRPr="007D7D51">
        <w:rPr>
          <w:rFonts w:cs="Arial"/>
        </w:rPr>
        <w:t>o změně a</w:t>
      </w:r>
      <w:r>
        <w:rPr>
          <w:rFonts w:cs="Arial"/>
        </w:rPr>
        <w:t> </w:t>
      </w:r>
      <w:r w:rsidRPr="007D7D51">
        <w:rPr>
          <w:rFonts w:cs="Arial"/>
        </w:rPr>
        <w:t>doplnění některých zákonů, ve znění pozdějších předpisů, a</w:t>
      </w:r>
      <w:r>
        <w:rPr>
          <w:rFonts w:cs="Arial"/>
        </w:rPr>
        <w:t> </w:t>
      </w:r>
      <w:r w:rsidRPr="007D7D51">
        <w:rPr>
          <w:rFonts w:cs="Arial"/>
        </w:rPr>
        <w:t>nařízení vlády č. 339/2002 Sb., o</w:t>
      </w:r>
      <w:r>
        <w:rPr>
          <w:rFonts w:cs="Arial"/>
        </w:rPr>
        <w:t> </w:t>
      </w:r>
      <w:r w:rsidRPr="007D7D51">
        <w:rPr>
          <w:rFonts w:cs="Arial"/>
        </w:rPr>
        <w:t>postupech při poskytování informací v</w:t>
      </w:r>
      <w:r>
        <w:rPr>
          <w:rFonts w:cs="Arial"/>
        </w:rPr>
        <w:t> </w:t>
      </w:r>
      <w:r w:rsidRPr="007D7D51">
        <w:rPr>
          <w:rFonts w:cs="Arial"/>
        </w:rPr>
        <w:t>oblasti technických předpisů, technických dokumentů a</w:t>
      </w:r>
      <w:r>
        <w:rPr>
          <w:rFonts w:cs="Arial"/>
        </w:rPr>
        <w:t> </w:t>
      </w:r>
      <w:r w:rsidRPr="007D7D51">
        <w:rPr>
          <w:rFonts w:cs="Arial"/>
        </w:rPr>
        <w:t>technických norem, ve znění pozdějších předpisů.</w:t>
      </w:r>
    </w:p>
    <w:p w14:paraId="284211A9" w14:textId="77777777" w:rsidR="007A4F98" w:rsidRPr="006A4F7D" w:rsidRDefault="007A4F98" w:rsidP="007A4F98">
      <w:pPr>
        <w:pStyle w:val="Nadpislnku"/>
      </w:pPr>
      <w:r w:rsidRPr="006A4F7D">
        <w:t>Upozornění na národní přílohu</w:t>
      </w:r>
    </w:p>
    <w:p w14:paraId="09AC579D" w14:textId="054EE371" w:rsidR="007A4F98" w:rsidRDefault="007A4F98" w:rsidP="007A4F98">
      <w:pPr>
        <w:pStyle w:val="Textnormy"/>
      </w:pPr>
      <w:r w:rsidRPr="006A4F7D">
        <w:t xml:space="preserve">Do této normy byla doplněna národní příloha NA, která obsahuje překlad kapitoly </w:t>
      </w:r>
      <w:r>
        <w:t xml:space="preserve">3 této </w:t>
      </w:r>
      <w:r w:rsidRPr="006A4F7D">
        <w:t>evropské normy.</w:t>
      </w:r>
    </w:p>
    <w:p w14:paraId="2CF5EB31" w14:textId="25DFDD49" w:rsidR="00A13114" w:rsidRDefault="00A13114" w:rsidP="0085237F">
      <w:pPr>
        <w:pStyle w:val="Nadpislnku"/>
      </w:pPr>
      <w:r w:rsidRPr="00AC0FA5">
        <w:t xml:space="preserve">Vypracování </w:t>
      </w:r>
      <w:r w:rsidRPr="0085237F">
        <w:t>normy</w:t>
      </w:r>
    </w:p>
    <w:p w14:paraId="714C718B" w14:textId="03094557" w:rsidR="00A13114" w:rsidRDefault="00A13114" w:rsidP="00A13114">
      <w:pPr>
        <w:pStyle w:val="Textnormy"/>
      </w:pPr>
      <w:r>
        <w:t>Zpracovatel Národní přílohy:</w:t>
      </w:r>
      <w:r w:rsidRPr="00A13114">
        <w:rPr>
          <w:bCs/>
        </w:rPr>
        <w:t xml:space="preserve"> </w:t>
      </w:r>
      <w:r>
        <w:rPr>
          <w:bCs/>
        </w:rPr>
        <w:t>Ing. Antonín Mareška</w:t>
      </w:r>
      <w:r w:rsidRPr="005E5CE7">
        <w:t xml:space="preserve">, </w:t>
      </w:r>
      <w:r>
        <w:t xml:space="preserve">Praha, </w:t>
      </w:r>
      <w:r w:rsidRPr="005E5CE7">
        <w:t xml:space="preserve">IČO </w:t>
      </w:r>
      <w:r w:rsidRPr="004776F2">
        <w:t>86983555</w:t>
      </w:r>
    </w:p>
    <w:p w14:paraId="1CACCAEC" w14:textId="0F6993A9" w:rsidR="00A13114" w:rsidRPr="00706EA2" w:rsidRDefault="00A13114" w:rsidP="00A13114">
      <w:pPr>
        <w:pStyle w:val="Textnormy"/>
      </w:pPr>
      <w:r w:rsidRPr="00706EA2">
        <w:t xml:space="preserve">Technická normalizační komise: </w:t>
      </w:r>
      <w:r w:rsidRPr="000035A3">
        <w:t xml:space="preserve">TNK </w:t>
      </w:r>
      <w:r>
        <w:t>96 Telekomunikace</w:t>
      </w:r>
    </w:p>
    <w:p w14:paraId="2BF18917" w14:textId="4B87D6AD" w:rsidR="00A13114" w:rsidRPr="0013216E" w:rsidRDefault="00A13114" w:rsidP="00A13114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1F4814">
          <w:rPr>
            <w:rStyle w:val="Hypertextovodkaz"/>
          </w:rPr>
          <w:t>Česká agentura pro standardizaci, státní příspěvková organizace</w:t>
        </w:r>
      </w:hyperlink>
    </w:p>
    <w:p w14:paraId="6C250A86" w14:textId="3BAEC7E5" w:rsidR="00A13114" w:rsidRDefault="00A13114" w:rsidP="00A13114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1F4814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CDF7016" w14:textId="163529AF" w:rsidR="00A13114" w:rsidRPr="006A4F7D" w:rsidRDefault="00A13114" w:rsidP="007A4F98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3A9E5FF" w14:textId="77777777" w:rsidR="007A4F98" w:rsidRPr="008C75DB" w:rsidRDefault="007A4F98" w:rsidP="007A4F98">
      <w:pPr>
        <w:pStyle w:val="Nadpiskapitoly"/>
        <w:pageBreakBefore/>
        <w:spacing w:before="0"/>
        <w:rPr>
          <w:b w:val="0"/>
        </w:rPr>
      </w:pPr>
      <w:bookmarkStart w:id="0" w:name="_Toc380735112"/>
      <w:bookmarkStart w:id="1" w:name="_Toc380735212"/>
      <w:bookmarkStart w:id="2" w:name="_Toc380825397"/>
      <w:bookmarkStart w:id="3" w:name="_Toc380827286"/>
      <w:bookmarkStart w:id="4" w:name="_Toc380886232"/>
      <w:bookmarkStart w:id="5" w:name="_Toc380886270"/>
      <w:bookmarkStart w:id="6" w:name="_Toc380886380"/>
      <w:bookmarkStart w:id="7" w:name="_Toc380886477"/>
      <w:r>
        <w:lastRenderedPageBreak/>
        <w:t>Národní příloha NA </w:t>
      </w:r>
      <w:r w:rsidRPr="008C75DB">
        <w:rPr>
          <w:b w:val="0"/>
        </w:rPr>
        <w:t>(informativní)</w:t>
      </w:r>
    </w:p>
    <w:p w14:paraId="17E937D0" w14:textId="1F6FAD9D" w:rsidR="007A4F98" w:rsidRDefault="007A4F98" w:rsidP="007A4F98">
      <w:pPr>
        <w:pStyle w:val="Nadpiskapitoly"/>
      </w:pPr>
      <w:bookmarkStart w:id="8" w:name="_Toc112210548"/>
      <w:bookmarkStart w:id="9" w:name="_Toc144783597"/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t>3</w:t>
      </w:r>
      <w:r>
        <w:t> </w:t>
      </w:r>
      <w:r>
        <w:t>Definice a zkratky</w:t>
      </w:r>
      <w:bookmarkEnd w:id="8"/>
      <w:bookmarkEnd w:id="9"/>
    </w:p>
    <w:p w14:paraId="690EE7AC" w14:textId="77777777" w:rsidR="007A4F98" w:rsidRDefault="007A4F98" w:rsidP="007A4F98">
      <w:pPr>
        <w:pStyle w:val="Nadpislnku"/>
      </w:pPr>
      <w:bookmarkStart w:id="10" w:name="_Toc99250974"/>
      <w:bookmarkStart w:id="11" w:name="_Toc112210549"/>
      <w:bookmarkStart w:id="12" w:name="_Toc144783598"/>
      <w:r>
        <w:t>3.1</w:t>
      </w:r>
      <w:r>
        <w:t> </w:t>
      </w:r>
      <w:r>
        <w:t>Definice</w:t>
      </w:r>
      <w:bookmarkEnd w:id="10"/>
      <w:bookmarkEnd w:id="11"/>
      <w:bookmarkEnd w:id="12"/>
    </w:p>
    <w:p w14:paraId="7BDAABC4" w14:textId="69B52403" w:rsidR="007A4F98" w:rsidRDefault="007A4F98" w:rsidP="007A4F98">
      <w:pPr>
        <w:pStyle w:val="Textnormy"/>
      </w:pPr>
      <w:r>
        <w:t>Pro účely tohoto dokumentu platí termíny a definice podle Směrnice R</w:t>
      </w:r>
      <w:r w:rsidRPr="005815D0">
        <w:t>&amp;TT</w:t>
      </w:r>
      <w:r>
        <w:t>E a dále uvedené termíny a definice:</w:t>
      </w:r>
    </w:p>
    <w:p w14:paraId="0EFC68D4" w14:textId="038F88CB" w:rsidR="007A4F98" w:rsidRDefault="007A4F98" w:rsidP="007A4F98">
      <w:pPr>
        <w:pStyle w:val="Textnormy"/>
        <w:spacing w:before="240"/>
      </w:pPr>
      <w:bookmarkStart w:id="13" w:name="_Toc68683318"/>
      <w:r>
        <w:rPr>
          <w:b/>
        </w:rPr>
        <w:t xml:space="preserve">letecká pohyblivá služba </w:t>
      </w:r>
      <w:r>
        <w:rPr>
          <w:i/>
        </w:rPr>
        <w:t>(aeronautical mobile service)</w:t>
      </w:r>
      <w:r>
        <w:rPr>
          <w:i/>
        </w:rPr>
        <w:tab/>
      </w:r>
      <w:r>
        <w:rPr>
          <w:i/>
        </w:rPr>
        <w:br/>
      </w:r>
      <w:r>
        <w:t xml:space="preserve">pohyblivá služba mezi leteckými stanicemi a palubními stanicemi nebo mezi palubními stanicemi, na níž se </w:t>
      </w:r>
      <w:r>
        <w:br/>
        <w:t>mohou podílet nouzové palubní stanice</w:t>
      </w:r>
    </w:p>
    <w:p w14:paraId="044E52C7" w14:textId="77777777" w:rsidR="007A4F98" w:rsidRDefault="007A4F98" w:rsidP="007A4F98">
      <w:pPr>
        <w:pStyle w:val="Textnormy"/>
        <w:spacing w:before="240"/>
      </w:pPr>
      <w:r>
        <w:rPr>
          <w:b/>
        </w:rPr>
        <w:t xml:space="preserve">měření přímým připojením </w:t>
      </w:r>
      <w:r>
        <w:rPr>
          <w:i/>
        </w:rPr>
        <w:t>(conducted measurements)</w:t>
      </w:r>
      <w:r>
        <w:tab/>
      </w:r>
      <w:r>
        <w:br/>
        <w:t>měření, která se provádějí pomocí přímého připojení RF ke zkoušenému zařízení</w:t>
      </w:r>
    </w:p>
    <w:p w14:paraId="4BCA53E4" w14:textId="5F753B32" w:rsidR="007A4F98" w:rsidRPr="00AE52D8" w:rsidRDefault="007A4F98" w:rsidP="007A4F98">
      <w:pPr>
        <w:pStyle w:val="Textnormy"/>
        <w:spacing w:before="240"/>
      </w:pPr>
      <w:r>
        <w:rPr>
          <w:b/>
        </w:rPr>
        <w:t xml:space="preserve">profil prostředí </w:t>
      </w:r>
      <w:r>
        <w:rPr>
          <w:i/>
        </w:rPr>
        <w:t>(environmental profile)</w:t>
      </w:r>
      <w:r>
        <w:tab/>
      </w:r>
      <w:r>
        <w:br/>
        <w:t>rozsah podmínek prostředí, v němž se od zařízení v rozsahu platnosti této normy požaduje dodržení ustanovení této normy</w:t>
      </w:r>
    </w:p>
    <w:p w14:paraId="2C012320" w14:textId="4B97601C" w:rsidR="007A4F98" w:rsidRDefault="007A4F98" w:rsidP="007A4F98">
      <w:pPr>
        <w:pStyle w:val="Textnormy"/>
        <w:spacing w:before="240"/>
      </w:pPr>
      <w:r>
        <w:rPr>
          <w:b/>
        </w:rPr>
        <w:t xml:space="preserve">pozemní základnová stanice </w:t>
      </w:r>
      <w:r>
        <w:rPr>
          <w:i/>
        </w:rPr>
        <w:t>(ground base station)</w:t>
      </w:r>
      <w:r>
        <w:tab/>
      </w:r>
      <w:r>
        <w:br/>
        <w:t>zařízení letecké stanice v letecké pohyblivé službě pro použití s vnější anténou a určené k použití na pevném stanovišti</w:t>
      </w:r>
    </w:p>
    <w:p w14:paraId="42AD5F89" w14:textId="77777777" w:rsidR="007A4F98" w:rsidRDefault="007A4F98" w:rsidP="007A4F98">
      <w:pPr>
        <w:pStyle w:val="Textnormy"/>
        <w:spacing w:before="240"/>
      </w:pPr>
      <w:r>
        <w:rPr>
          <w:b/>
        </w:rPr>
        <w:t xml:space="preserve">měření vyzařování </w:t>
      </w:r>
      <w:r>
        <w:rPr>
          <w:i/>
        </w:rPr>
        <w:t>(radiated measurements)</w:t>
      </w:r>
      <w:r>
        <w:tab/>
      </w:r>
      <w:r>
        <w:br/>
        <w:t>měření, která zahrnují měření vyzařovaného pole</w:t>
      </w:r>
    </w:p>
    <w:bookmarkEnd w:id="13"/>
    <w:p w14:paraId="1036ED9A" w14:textId="77777777" w:rsidR="007A4F98" w:rsidRDefault="007A4F98" w:rsidP="007A4F98">
      <w:pPr>
        <w:pStyle w:val="Nadpislnku"/>
      </w:pPr>
      <w:r>
        <w:t>3.2</w:t>
      </w:r>
      <w:r w:rsidRPr="00493A3F">
        <w:rPr>
          <w:rFonts w:cs="Arial"/>
        </w:rPr>
        <w:t> </w:t>
      </w:r>
      <w:r>
        <w:t>Zkratky</w:t>
      </w:r>
    </w:p>
    <w:p w14:paraId="2645F6D4" w14:textId="77777777" w:rsidR="007A4F98" w:rsidRDefault="007A4F98" w:rsidP="007A4F98">
      <w:pPr>
        <w:pStyle w:val="Textnormy"/>
      </w:pPr>
      <w:r>
        <w:t>Pro účely tohoto dokumentu platí dále uvedené zkratky:</w:t>
      </w:r>
    </w:p>
    <w:p w14:paraId="651ADA3C" w14:textId="77777777" w:rsidR="007A4F98" w:rsidRDefault="007A4F98" w:rsidP="007A4F98">
      <w:pPr>
        <w:pStyle w:val="Textnormy"/>
        <w:tabs>
          <w:tab w:val="left" w:pos="1418"/>
        </w:tabs>
      </w:pPr>
      <w:r>
        <w:t>AM</w:t>
      </w:r>
      <w:r>
        <w:tab/>
        <w:t xml:space="preserve">amplitudová modulace </w:t>
      </w:r>
      <w:r>
        <w:rPr>
          <w:i/>
        </w:rPr>
        <w:t>(Amplitude Modulation)</w:t>
      </w:r>
    </w:p>
    <w:p w14:paraId="52332AFA" w14:textId="77777777" w:rsidR="007A4F98" w:rsidRDefault="007A4F98" w:rsidP="007A4F98">
      <w:pPr>
        <w:pStyle w:val="Textnormy"/>
        <w:tabs>
          <w:tab w:val="left" w:pos="1418"/>
        </w:tabs>
        <w:ind w:left="1418" w:hanging="1418"/>
        <w:rPr>
          <w:i/>
          <w:snapToGrid w:val="0"/>
        </w:rPr>
      </w:pPr>
      <w:r>
        <w:rPr>
          <w:snapToGrid w:val="0"/>
        </w:rPr>
        <w:t>DSB</w:t>
      </w:r>
      <w:r>
        <w:rPr>
          <w:snapToGrid w:val="0"/>
        </w:rPr>
        <w:tab/>
        <w:t xml:space="preserve">dvě postranní pásma </w:t>
      </w:r>
      <w:r>
        <w:rPr>
          <w:i/>
          <w:snapToGrid w:val="0"/>
        </w:rPr>
        <w:t>(Double Side Band)</w:t>
      </w:r>
    </w:p>
    <w:p w14:paraId="1004AA57" w14:textId="77777777" w:rsidR="007A4F98" w:rsidRDefault="007A4F98" w:rsidP="007A4F98">
      <w:pPr>
        <w:pStyle w:val="Textnormy"/>
        <w:tabs>
          <w:tab w:val="left" w:pos="1418"/>
        </w:tabs>
        <w:rPr>
          <w:i/>
        </w:rPr>
      </w:pPr>
      <w:r>
        <w:t>RF</w:t>
      </w:r>
      <w:r>
        <w:tab/>
        <w:t xml:space="preserve">rádiový kmitočet, vysokofrekvenční </w:t>
      </w:r>
      <w:r>
        <w:rPr>
          <w:i/>
        </w:rPr>
        <w:t>(Radio Frequency)</w:t>
      </w:r>
    </w:p>
    <w:p w14:paraId="1E078634" w14:textId="7516C8D1" w:rsidR="007A4F98" w:rsidRPr="00C73D02" w:rsidRDefault="007A4F98" w:rsidP="007A4F98">
      <w:pPr>
        <w:pStyle w:val="Textnormy"/>
        <w:tabs>
          <w:tab w:val="left" w:pos="1418"/>
        </w:tabs>
        <w:ind w:left="1418" w:hanging="1418"/>
        <w:rPr>
          <w:i/>
          <w:snapToGrid w:val="0"/>
          <w:spacing w:val="-4"/>
        </w:rPr>
      </w:pPr>
      <w:r>
        <w:rPr>
          <w:snapToGrid w:val="0"/>
        </w:rPr>
        <w:t>R&amp;TTE</w:t>
      </w:r>
      <w:r>
        <w:rPr>
          <w:snapToGrid w:val="0"/>
        </w:rPr>
        <w:tab/>
      </w:r>
      <w:r w:rsidRPr="00C73D02">
        <w:rPr>
          <w:snapToGrid w:val="0"/>
          <w:spacing w:val="-4"/>
        </w:rPr>
        <w:t>rádiová a</w:t>
      </w:r>
      <w:r>
        <w:rPr>
          <w:snapToGrid w:val="0"/>
          <w:spacing w:val="-4"/>
        </w:rPr>
        <w:t> </w:t>
      </w:r>
      <w:r w:rsidRPr="00C73D02">
        <w:rPr>
          <w:snapToGrid w:val="0"/>
          <w:spacing w:val="-4"/>
        </w:rPr>
        <w:t xml:space="preserve">telekomunikační koncová zařízení </w:t>
      </w:r>
      <w:r w:rsidRPr="00C73D02">
        <w:rPr>
          <w:i/>
          <w:snapToGrid w:val="0"/>
          <w:spacing w:val="-4"/>
        </w:rPr>
        <w:t>(Radio and Telecommunications Terminal Equipment)</w:t>
      </w:r>
    </w:p>
    <w:p w14:paraId="5151F715" w14:textId="77777777" w:rsidR="006D2B67" w:rsidRDefault="007A4F98" w:rsidP="006D2B67">
      <w:pPr>
        <w:pStyle w:val="Textnormy"/>
        <w:jc w:val="center"/>
        <w:rPr>
          <w:b/>
          <w:color w:val="FF0000"/>
        </w:rPr>
      </w:pPr>
      <w:r>
        <w:rPr>
          <w:snapToGrid w:val="0"/>
        </w:rPr>
        <w:br w:type="page"/>
      </w:r>
      <w:r w:rsidR="006D2B67">
        <w:rPr>
          <w:b/>
          <w:color w:val="FF0000"/>
          <w:highlight w:val="yellow"/>
        </w:rPr>
        <w:lastRenderedPageBreak/>
        <w:t>NÁSLEDUJE TEXT PŘEJÍMANÉHO ORIGINÁLU</w:t>
      </w:r>
    </w:p>
    <w:p w14:paraId="3936473E" w14:textId="77777777" w:rsidR="006D2B67" w:rsidRDefault="006D2B67" w:rsidP="006D2B67">
      <w:pPr>
        <w:pStyle w:val="Nadpis1"/>
      </w:pPr>
    </w:p>
    <w:sectPr w:rsidR="006D2B67" w:rsidSect="00293BA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9FB14" w14:textId="77777777" w:rsidR="000D0F62" w:rsidRDefault="000D0F62">
      <w:r>
        <w:separator/>
      </w:r>
    </w:p>
  </w:endnote>
  <w:endnote w:type="continuationSeparator" w:id="0">
    <w:p w14:paraId="064E8854" w14:textId="77777777" w:rsidR="000D0F62" w:rsidRDefault="000D0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4B1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3A968CEB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3045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527B0C05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13BE2" w14:textId="4A94FA91" w:rsidR="00F34746" w:rsidRPr="0085237F" w:rsidRDefault="0085237F" w:rsidP="0085237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7D4F7ED" wp14:editId="271E7FBB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081201447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9F47A8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6108" w14:textId="77777777" w:rsidR="0070283E" w:rsidRDefault="0000000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0D3EB" w14:textId="77777777" w:rsidR="0070283E" w:rsidRDefault="0000000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F22FD" w14:textId="77777777" w:rsidR="000D0F62" w:rsidRDefault="000D0F62">
      <w:r>
        <w:separator/>
      </w:r>
    </w:p>
  </w:footnote>
  <w:footnote w:type="continuationSeparator" w:id="0">
    <w:p w14:paraId="31398502" w14:textId="77777777" w:rsidR="000D0F62" w:rsidRDefault="000D0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94C1F" w14:textId="40E53306" w:rsidR="00F34746" w:rsidRDefault="00000000">
    <w:pPr>
      <w:pStyle w:val="Zhlav"/>
    </w:pPr>
    <w:r>
      <w:rPr>
        <w:noProof/>
      </w:rPr>
      <w:pict w14:anchorId="0A1774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1882516" o:spid="_x0000_s1032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AF834" w14:textId="78BB5B32" w:rsidR="00F34746" w:rsidRDefault="00000000">
    <w:pPr>
      <w:pStyle w:val="Zhlav"/>
      <w:jc w:val="right"/>
    </w:pPr>
    <w:r>
      <w:rPr>
        <w:noProof/>
      </w:rPr>
      <w:pict w14:anchorId="6060B2E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1882517" o:spid="_x0000_s1033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DDA7D" w14:textId="32E00159" w:rsidR="007A4F98" w:rsidRDefault="00000000">
    <w:pPr>
      <w:pStyle w:val="Zhlav"/>
    </w:pPr>
    <w:r>
      <w:rPr>
        <w:noProof/>
      </w:rPr>
      <w:pict w14:anchorId="04FE827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1882515" o:spid="_x0000_s1031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BCFF9" w14:textId="6C9A7467" w:rsidR="0070283E" w:rsidRDefault="00000000">
    <w:pPr>
      <w:pStyle w:val="Zhlav"/>
    </w:pPr>
    <w:r>
      <w:rPr>
        <w:noProof/>
      </w:rPr>
      <w:pict w14:anchorId="3424388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1882519" o:spid="_x0000_s1035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A4F98">
      <w:t>ČSN ETSI EN 302</w:t>
    </w:r>
    <w:r w:rsidR="007A4F98" w:rsidRPr="00E77BBC">
      <w:rPr>
        <w:lang w:val="de-DE"/>
      </w:rPr>
      <w:t> </w:t>
    </w:r>
    <w:r w:rsidR="007A4F98">
      <w:rPr>
        <w:lang w:val="de-DE"/>
      </w:rPr>
      <w:t>617</w:t>
    </w:r>
    <w:r w:rsidR="007A4F98">
      <w:t>-2 V1.1.1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1AF6C" w14:textId="654D98FC" w:rsidR="0070283E" w:rsidRDefault="00000000">
    <w:pPr>
      <w:pStyle w:val="Zhlav"/>
      <w:jc w:val="right"/>
    </w:pPr>
    <w:r>
      <w:rPr>
        <w:noProof/>
      </w:rPr>
      <w:pict w14:anchorId="200E72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1882520" o:spid="_x0000_s1036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A4F98">
      <w:t>ČSN ETSI EN 302</w:t>
    </w:r>
    <w:r w:rsidR="007A4F98" w:rsidRPr="00E77BBC">
      <w:rPr>
        <w:lang w:val="de-DE"/>
      </w:rPr>
      <w:t> </w:t>
    </w:r>
    <w:r w:rsidR="007A4F98">
      <w:rPr>
        <w:lang w:val="de-DE"/>
      </w:rPr>
      <w:t>617</w:t>
    </w:r>
    <w:r w:rsidR="007A4F98">
      <w:t>-2 V1.1.1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B99DC" w14:textId="3234EA21" w:rsidR="0070283E" w:rsidRDefault="00000000">
    <w:pPr>
      <w:pStyle w:val="Zhlav"/>
    </w:pPr>
    <w:r>
      <w:rPr>
        <w:noProof/>
      </w:rPr>
      <w:pict w14:anchorId="3764D4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1882518" o:spid="_x0000_s1034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38179531">
    <w:abstractNumId w:val="16"/>
  </w:num>
  <w:num w:numId="2" w16cid:durableId="586885888">
    <w:abstractNumId w:val="10"/>
    <w:lvlOverride w:ilvl="0">
      <w:startOverride w:val="1"/>
    </w:lvlOverride>
  </w:num>
  <w:num w:numId="3" w16cid:durableId="857086033">
    <w:abstractNumId w:val="17"/>
  </w:num>
  <w:num w:numId="4" w16cid:durableId="329647191">
    <w:abstractNumId w:val="14"/>
  </w:num>
  <w:num w:numId="5" w16cid:durableId="1452897446">
    <w:abstractNumId w:val="15"/>
  </w:num>
  <w:num w:numId="6" w16cid:durableId="1126778208">
    <w:abstractNumId w:val="9"/>
  </w:num>
  <w:num w:numId="7" w16cid:durableId="1449155709">
    <w:abstractNumId w:val="10"/>
  </w:num>
  <w:num w:numId="8" w16cid:durableId="915435654">
    <w:abstractNumId w:val="20"/>
  </w:num>
  <w:num w:numId="9" w16cid:durableId="1505975452">
    <w:abstractNumId w:val="20"/>
    <w:lvlOverride w:ilvl="0">
      <w:startOverride w:val="1"/>
    </w:lvlOverride>
  </w:num>
  <w:num w:numId="10" w16cid:durableId="1645425726">
    <w:abstractNumId w:val="11"/>
  </w:num>
  <w:num w:numId="11" w16cid:durableId="1235776986">
    <w:abstractNumId w:val="20"/>
  </w:num>
  <w:num w:numId="12" w16cid:durableId="943608580">
    <w:abstractNumId w:val="10"/>
  </w:num>
  <w:num w:numId="13" w16cid:durableId="1050809212">
    <w:abstractNumId w:val="17"/>
  </w:num>
  <w:num w:numId="14" w16cid:durableId="1879587020">
    <w:abstractNumId w:val="15"/>
  </w:num>
  <w:num w:numId="15" w16cid:durableId="1463498994">
    <w:abstractNumId w:val="11"/>
  </w:num>
  <w:num w:numId="16" w16cid:durableId="2113351971">
    <w:abstractNumId w:val="14"/>
  </w:num>
  <w:num w:numId="17" w16cid:durableId="1734694823">
    <w:abstractNumId w:val="9"/>
  </w:num>
  <w:num w:numId="18" w16cid:durableId="1370959045">
    <w:abstractNumId w:val="20"/>
  </w:num>
  <w:num w:numId="19" w16cid:durableId="1017581153">
    <w:abstractNumId w:val="10"/>
  </w:num>
  <w:num w:numId="20" w16cid:durableId="982541619">
    <w:abstractNumId w:val="17"/>
  </w:num>
  <w:num w:numId="21" w16cid:durableId="784545938">
    <w:abstractNumId w:val="15"/>
  </w:num>
  <w:num w:numId="22" w16cid:durableId="1340276933">
    <w:abstractNumId w:val="11"/>
  </w:num>
  <w:num w:numId="23" w16cid:durableId="1285428920">
    <w:abstractNumId w:val="14"/>
  </w:num>
  <w:num w:numId="24" w16cid:durableId="454762049">
    <w:abstractNumId w:val="9"/>
  </w:num>
  <w:num w:numId="25" w16cid:durableId="218907740">
    <w:abstractNumId w:val="20"/>
  </w:num>
  <w:num w:numId="26" w16cid:durableId="1787698465">
    <w:abstractNumId w:val="10"/>
  </w:num>
  <w:num w:numId="27" w16cid:durableId="273946965">
    <w:abstractNumId w:val="17"/>
  </w:num>
  <w:num w:numId="28" w16cid:durableId="821847054">
    <w:abstractNumId w:val="15"/>
  </w:num>
  <w:num w:numId="29" w16cid:durableId="1069577235">
    <w:abstractNumId w:val="11"/>
  </w:num>
  <w:num w:numId="30" w16cid:durableId="1472402818">
    <w:abstractNumId w:val="14"/>
  </w:num>
  <w:num w:numId="31" w16cid:durableId="570627124">
    <w:abstractNumId w:val="9"/>
  </w:num>
  <w:num w:numId="32" w16cid:durableId="1152867320">
    <w:abstractNumId w:val="14"/>
  </w:num>
  <w:num w:numId="33" w16cid:durableId="36399376">
    <w:abstractNumId w:val="11"/>
  </w:num>
  <w:num w:numId="34" w16cid:durableId="1406487737">
    <w:abstractNumId w:val="20"/>
  </w:num>
  <w:num w:numId="35" w16cid:durableId="767852188">
    <w:abstractNumId w:val="15"/>
  </w:num>
  <w:num w:numId="36" w16cid:durableId="1953435012">
    <w:abstractNumId w:val="9"/>
  </w:num>
  <w:num w:numId="37" w16cid:durableId="2095272400">
    <w:abstractNumId w:val="17"/>
  </w:num>
  <w:num w:numId="38" w16cid:durableId="993144633">
    <w:abstractNumId w:val="10"/>
  </w:num>
  <w:num w:numId="39" w16cid:durableId="206331578">
    <w:abstractNumId w:val="11"/>
  </w:num>
  <w:num w:numId="40" w16cid:durableId="1145512250">
    <w:abstractNumId w:val="13"/>
  </w:num>
  <w:num w:numId="41" w16cid:durableId="32577242">
    <w:abstractNumId w:val="12"/>
  </w:num>
  <w:num w:numId="42" w16cid:durableId="1071271619">
    <w:abstractNumId w:val="0"/>
  </w:num>
  <w:num w:numId="43" w16cid:durableId="877207532">
    <w:abstractNumId w:val="1"/>
  </w:num>
  <w:num w:numId="44" w16cid:durableId="1247150972">
    <w:abstractNumId w:val="3"/>
  </w:num>
  <w:num w:numId="45" w16cid:durableId="305015649">
    <w:abstractNumId w:val="2"/>
  </w:num>
  <w:num w:numId="46" w16cid:durableId="1270235517">
    <w:abstractNumId w:val="8"/>
  </w:num>
  <w:num w:numId="47" w16cid:durableId="2092849570">
    <w:abstractNumId w:val="7"/>
  </w:num>
  <w:num w:numId="48" w16cid:durableId="1927571443">
    <w:abstractNumId w:val="6"/>
  </w:num>
  <w:num w:numId="49" w16cid:durableId="1002392837">
    <w:abstractNumId w:val="5"/>
  </w:num>
  <w:num w:numId="50" w16cid:durableId="990214381">
    <w:abstractNumId w:val="4"/>
  </w:num>
  <w:num w:numId="51" w16cid:durableId="363948797">
    <w:abstractNumId w:val="18"/>
  </w:num>
  <w:num w:numId="52" w16cid:durableId="2049642759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F98"/>
    <w:rsid w:val="00072F44"/>
    <w:rsid w:val="000A5DA2"/>
    <w:rsid w:val="000D0F62"/>
    <w:rsid w:val="000D22A5"/>
    <w:rsid w:val="000D7198"/>
    <w:rsid w:val="000D7CC4"/>
    <w:rsid w:val="00103F06"/>
    <w:rsid w:val="00104C1B"/>
    <w:rsid w:val="0012400B"/>
    <w:rsid w:val="0013039D"/>
    <w:rsid w:val="0013058D"/>
    <w:rsid w:val="0013216E"/>
    <w:rsid w:val="00135415"/>
    <w:rsid w:val="001567EF"/>
    <w:rsid w:val="00194A2B"/>
    <w:rsid w:val="001B1B5E"/>
    <w:rsid w:val="001B63E7"/>
    <w:rsid w:val="001B656A"/>
    <w:rsid w:val="001F4814"/>
    <w:rsid w:val="00210AAE"/>
    <w:rsid w:val="00231D91"/>
    <w:rsid w:val="00236AFC"/>
    <w:rsid w:val="0028489E"/>
    <w:rsid w:val="002B25EE"/>
    <w:rsid w:val="002C41B5"/>
    <w:rsid w:val="002D43DF"/>
    <w:rsid w:val="002F6A9A"/>
    <w:rsid w:val="003124F2"/>
    <w:rsid w:val="00314F2D"/>
    <w:rsid w:val="00342659"/>
    <w:rsid w:val="00361E7B"/>
    <w:rsid w:val="0037125D"/>
    <w:rsid w:val="0038646B"/>
    <w:rsid w:val="003C701A"/>
    <w:rsid w:val="004069CB"/>
    <w:rsid w:val="00412CB3"/>
    <w:rsid w:val="004159F3"/>
    <w:rsid w:val="00421B22"/>
    <w:rsid w:val="00445C34"/>
    <w:rsid w:val="004634EE"/>
    <w:rsid w:val="00485906"/>
    <w:rsid w:val="004B223B"/>
    <w:rsid w:val="004C5D55"/>
    <w:rsid w:val="004D39AA"/>
    <w:rsid w:val="004F0AD7"/>
    <w:rsid w:val="00503D98"/>
    <w:rsid w:val="0055412A"/>
    <w:rsid w:val="00576ED5"/>
    <w:rsid w:val="005B2169"/>
    <w:rsid w:val="005E3B21"/>
    <w:rsid w:val="005E5B69"/>
    <w:rsid w:val="005E6EAE"/>
    <w:rsid w:val="00603B33"/>
    <w:rsid w:val="00632ADD"/>
    <w:rsid w:val="006A3382"/>
    <w:rsid w:val="006B04C9"/>
    <w:rsid w:val="006C458C"/>
    <w:rsid w:val="006D2485"/>
    <w:rsid w:val="006D2B67"/>
    <w:rsid w:val="006E76C8"/>
    <w:rsid w:val="0070283E"/>
    <w:rsid w:val="00734D06"/>
    <w:rsid w:val="00781609"/>
    <w:rsid w:val="00790EC5"/>
    <w:rsid w:val="007A4F98"/>
    <w:rsid w:val="007C5D98"/>
    <w:rsid w:val="007E0F61"/>
    <w:rsid w:val="007E23F0"/>
    <w:rsid w:val="007F27A2"/>
    <w:rsid w:val="007F4A22"/>
    <w:rsid w:val="008072A3"/>
    <w:rsid w:val="00831B2F"/>
    <w:rsid w:val="0085237F"/>
    <w:rsid w:val="008638F1"/>
    <w:rsid w:val="00872046"/>
    <w:rsid w:val="008853E8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85D80"/>
    <w:rsid w:val="009957B0"/>
    <w:rsid w:val="009A5AF7"/>
    <w:rsid w:val="009E0658"/>
    <w:rsid w:val="009F2E2E"/>
    <w:rsid w:val="009F47A8"/>
    <w:rsid w:val="00A12852"/>
    <w:rsid w:val="00A13114"/>
    <w:rsid w:val="00A3019F"/>
    <w:rsid w:val="00A83EAB"/>
    <w:rsid w:val="00A848B2"/>
    <w:rsid w:val="00A90C34"/>
    <w:rsid w:val="00A96F7B"/>
    <w:rsid w:val="00AB15EC"/>
    <w:rsid w:val="00AD392B"/>
    <w:rsid w:val="00B04A88"/>
    <w:rsid w:val="00B1707B"/>
    <w:rsid w:val="00BB7770"/>
    <w:rsid w:val="00BC1FDE"/>
    <w:rsid w:val="00BE7844"/>
    <w:rsid w:val="00C02CD7"/>
    <w:rsid w:val="00C2107C"/>
    <w:rsid w:val="00C43BC8"/>
    <w:rsid w:val="00C904AB"/>
    <w:rsid w:val="00CA6CE8"/>
    <w:rsid w:val="00D35BBC"/>
    <w:rsid w:val="00D52E41"/>
    <w:rsid w:val="00D53D67"/>
    <w:rsid w:val="00D54402"/>
    <w:rsid w:val="00D64213"/>
    <w:rsid w:val="00D85849"/>
    <w:rsid w:val="00DA1989"/>
    <w:rsid w:val="00DE2529"/>
    <w:rsid w:val="00DE412B"/>
    <w:rsid w:val="00DF2798"/>
    <w:rsid w:val="00E12D49"/>
    <w:rsid w:val="00E173FC"/>
    <w:rsid w:val="00E22981"/>
    <w:rsid w:val="00E25306"/>
    <w:rsid w:val="00E54908"/>
    <w:rsid w:val="00E64DC6"/>
    <w:rsid w:val="00E74C26"/>
    <w:rsid w:val="00EB1FEE"/>
    <w:rsid w:val="00EB675D"/>
    <w:rsid w:val="00EC20C5"/>
    <w:rsid w:val="00EF604D"/>
    <w:rsid w:val="00F34746"/>
    <w:rsid w:val="00F415E7"/>
    <w:rsid w:val="00F61B4E"/>
    <w:rsid w:val="00F74691"/>
    <w:rsid w:val="00F77831"/>
    <w:rsid w:val="00F95F63"/>
    <w:rsid w:val="00FB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999307"/>
  <w15:chartTrackingRefBased/>
  <w15:docId w15:val="{11EF26AC-A98F-4CF7-BC26-D21F6F28E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F4814"/>
  </w:style>
  <w:style w:type="paragraph" w:styleId="Nadpis1">
    <w:name w:val="heading 1"/>
    <w:basedOn w:val="Nadpiskapitoly"/>
    <w:next w:val="Textnormy"/>
    <w:link w:val="Nadpis1Char"/>
    <w:qFormat/>
    <w:rsid w:val="001F4814"/>
    <w:pPr>
      <w:outlineLvl w:val="0"/>
    </w:pPr>
  </w:style>
  <w:style w:type="paragraph" w:styleId="Nadpis2">
    <w:name w:val="heading 2"/>
    <w:basedOn w:val="Nadpislnku"/>
    <w:next w:val="Textnormy"/>
    <w:qFormat/>
    <w:rsid w:val="001F4814"/>
    <w:pPr>
      <w:outlineLvl w:val="1"/>
    </w:pPr>
  </w:style>
  <w:style w:type="paragraph" w:styleId="Nadpis3">
    <w:name w:val="heading 3"/>
    <w:basedOn w:val="Nadpislnku"/>
    <w:next w:val="Textnormy"/>
    <w:qFormat/>
    <w:rsid w:val="001F4814"/>
    <w:pPr>
      <w:outlineLvl w:val="2"/>
    </w:pPr>
  </w:style>
  <w:style w:type="paragraph" w:styleId="Nadpis4">
    <w:name w:val="heading 4"/>
    <w:basedOn w:val="Nadpislnku"/>
    <w:next w:val="Textnormy"/>
    <w:qFormat/>
    <w:rsid w:val="001F481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1F481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1F481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1F481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1F481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1F481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1F481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1F4814"/>
  </w:style>
  <w:style w:type="paragraph" w:customStyle="1" w:styleId="Nadpiskapitoly">
    <w:name w:val="Nadpis kapitoly"/>
    <w:basedOn w:val="Nadpislnku"/>
    <w:next w:val="Textnormy"/>
    <w:rsid w:val="001F481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1F481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1F4814"/>
    <w:pPr>
      <w:spacing w:after="120"/>
      <w:jc w:val="both"/>
    </w:pPr>
  </w:style>
  <w:style w:type="paragraph" w:customStyle="1" w:styleId="1StrTrZn">
    <w:name w:val="1StrTrZn"/>
    <w:basedOn w:val="Textnormy"/>
    <w:rsid w:val="001F481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1F4814"/>
    <w:pPr>
      <w:spacing w:before="480"/>
    </w:pPr>
  </w:style>
  <w:style w:type="paragraph" w:customStyle="1" w:styleId="1StrNN-1-23">
    <w:name w:val="1StrNN-1-23"/>
    <w:basedOn w:val="Textnormy"/>
    <w:rsid w:val="001F481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1F481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1F4814"/>
    <w:pPr>
      <w:numPr>
        <w:numId w:val="4"/>
      </w:numPr>
      <w:ind w:left="284" w:hanging="284"/>
    </w:pPr>
  </w:style>
  <w:style w:type="paragraph" w:styleId="Rejstk1">
    <w:name w:val="index 1"/>
    <w:basedOn w:val="Textnormy"/>
    <w:next w:val="Textnormy"/>
    <w:rsid w:val="001F481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1F481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1F481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1F481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1F4814"/>
    <w:pPr>
      <w:spacing w:before="0" w:after="120"/>
      <w:ind w:left="284" w:hanging="284"/>
    </w:pPr>
  </w:style>
  <w:style w:type="paragraph" w:styleId="Zhlav">
    <w:name w:val="header"/>
    <w:basedOn w:val="Textnormy"/>
    <w:link w:val="ZhlavChar"/>
    <w:rsid w:val="001F4814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1F481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1F4814"/>
    <w:pPr>
      <w:spacing w:after="120"/>
    </w:pPr>
  </w:style>
  <w:style w:type="paragraph" w:styleId="Obsah2">
    <w:name w:val="toc 2"/>
    <w:basedOn w:val="Obsah1"/>
    <w:next w:val="Textnormy"/>
    <w:uiPriority w:val="39"/>
    <w:rsid w:val="001F4814"/>
  </w:style>
  <w:style w:type="paragraph" w:styleId="Obsah1">
    <w:name w:val="toc 1"/>
    <w:basedOn w:val="Textnormy"/>
    <w:next w:val="Textnormy"/>
    <w:uiPriority w:val="39"/>
    <w:rsid w:val="001F481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1F4814"/>
    <w:pPr>
      <w:numPr>
        <w:numId w:val="10"/>
      </w:numPr>
    </w:pPr>
  </w:style>
  <w:style w:type="paragraph" w:styleId="Obsah3">
    <w:name w:val="toc 3"/>
    <w:basedOn w:val="Obsah1"/>
    <w:next w:val="Textnormy"/>
    <w:rsid w:val="001F4814"/>
  </w:style>
  <w:style w:type="paragraph" w:styleId="Obsah4">
    <w:name w:val="toc 4"/>
    <w:basedOn w:val="Obsah1"/>
    <w:next w:val="Textnormy"/>
    <w:uiPriority w:val="39"/>
    <w:rsid w:val="001F4814"/>
  </w:style>
  <w:style w:type="paragraph" w:styleId="Obsah6">
    <w:name w:val="toc 6"/>
    <w:basedOn w:val="Obsah1"/>
    <w:next w:val="Textnormy"/>
    <w:rsid w:val="001F4814"/>
  </w:style>
  <w:style w:type="paragraph" w:styleId="Obsah7">
    <w:name w:val="toc 7"/>
    <w:basedOn w:val="Obsah1"/>
    <w:next w:val="Textnormy"/>
    <w:semiHidden/>
    <w:rsid w:val="001F4814"/>
  </w:style>
  <w:style w:type="paragraph" w:styleId="Obsah8">
    <w:name w:val="toc 8"/>
    <w:basedOn w:val="Obsah1"/>
    <w:next w:val="Textnormy"/>
    <w:semiHidden/>
    <w:rsid w:val="001F4814"/>
  </w:style>
  <w:style w:type="character" w:styleId="Znakapoznpodarou">
    <w:name w:val="footnote reference"/>
    <w:basedOn w:val="Standardnpsmoodstavce"/>
    <w:rsid w:val="001F4814"/>
    <w:rPr>
      <w:vertAlign w:val="superscript"/>
    </w:rPr>
  </w:style>
  <w:style w:type="paragraph" w:customStyle="1" w:styleId="ABCseznamCZ">
    <w:name w:val="ABC seznamCZ"/>
    <w:basedOn w:val="Textnormy"/>
    <w:rsid w:val="001F4814"/>
    <w:pPr>
      <w:numPr>
        <w:numId w:val="9"/>
      </w:numPr>
    </w:pPr>
  </w:style>
  <w:style w:type="paragraph" w:customStyle="1" w:styleId="slovanseznamvnorm">
    <w:name w:val="Číslovaný seznam v normě"/>
    <w:basedOn w:val="Textnormy"/>
    <w:rsid w:val="001F4814"/>
    <w:pPr>
      <w:numPr>
        <w:numId w:val="5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1F4814"/>
    <w:pPr>
      <w:numPr>
        <w:numId w:val="6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1F4814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1F4814"/>
    <w:pPr>
      <w:numPr>
        <w:numId w:val="3"/>
      </w:numPr>
      <w:tabs>
        <w:tab w:val="clear" w:pos="360"/>
      </w:tabs>
    </w:pPr>
  </w:style>
  <w:style w:type="paragraph" w:styleId="Textpoznpodarou">
    <w:name w:val="footnote text"/>
    <w:basedOn w:val="Poznmka"/>
    <w:rsid w:val="001F481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1F4814"/>
    <w:pPr>
      <w:ind w:left="1600"/>
    </w:pPr>
  </w:style>
  <w:style w:type="paragraph" w:customStyle="1" w:styleId="1Str1Rad">
    <w:name w:val="1Str1Rad"/>
    <w:basedOn w:val="Textnormy"/>
    <w:rsid w:val="001F481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1F481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1F481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1F481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1F481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1F481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1F481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1F481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1F481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1F481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1F481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1F481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1F4814"/>
    <w:pPr>
      <w:spacing w:before="300"/>
    </w:pPr>
  </w:style>
  <w:style w:type="paragraph" w:customStyle="1" w:styleId="1StrNN-X">
    <w:name w:val="1StrNN-X"/>
    <w:basedOn w:val="1StrNN-1-23"/>
    <w:rsid w:val="001F481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1F481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1F4814"/>
    <w:pPr>
      <w:spacing w:before="800"/>
    </w:pPr>
  </w:style>
  <w:style w:type="paragraph" w:customStyle="1" w:styleId="1StrNN-2-4">
    <w:name w:val="1StrNN-2-4"/>
    <w:basedOn w:val="1StrNN-1-23"/>
    <w:rsid w:val="001F4814"/>
  </w:style>
  <w:style w:type="paragraph" w:customStyle="1" w:styleId="1StrNN-3-4">
    <w:name w:val="1StrNN-3-4"/>
    <w:basedOn w:val="1StrNN-1-23"/>
    <w:rsid w:val="001F4814"/>
    <w:pPr>
      <w:spacing w:before="460"/>
    </w:pPr>
  </w:style>
  <w:style w:type="paragraph" w:customStyle="1" w:styleId="1StrNN-4-4">
    <w:name w:val="1StrNN-4-4"/>
    <w:basedOn w:val="1StrNN-1-23"/>
    <w:rsid w:val="001F4814"/>
    <w:pPr>
      <w:spacing w:before="340"/>
    </w:pPr>
  </w:style>
  <w:style w:type="paragraph" w:customStyle="1" w:styleId="ABCSeznamUS">
    <w:name w:val="ABC SeznamUS"/>
    <w:basedOn w:val="Textnormy"/>
    <w:rsid w:val="001F4814"/>
    <w:pPr>
      <w:numPr>
        <w:numId w:val="7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1F481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1F4814"/>
    <w:pPr>
      <w:jc w:val="left"/>
    </w:pPr>
  </w:style>
  <w:style w:type="paragraph" w:customStyle="1" w:styleId="1StrNN-4-3">
    <w:name w:val="1StrNN-4-3"/>
    <w:basedOn w:val="1StrNN-1-23"/>
    <w:rsid w:val="001F4814"/>
    <w:pPr>
      <w:spacing w:before="160"/>
    </w:pPr>
  </w:style>
  <w:style w:type="paragraph" w:customStyle="1" w:styleId="Upozornn">
    <w:name w:val="Upozornění"/>
    <w:basedOn w:val="Normln"/>
    <w:rsid w:val="001F481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1F4814"/>
  </w:style>
  <w:style w:type="character" w:styleId="Hypertextovodkaz">
    <w:name w:val="Hyperlink"/>
    <w:unhideWhenUsed/>
    <w:rsid w:val="001F4814"/>
    <w:rPr>
      <w:color w:val="0000FF"/>
      <w:u w:val="single"/>
    </w:rPr>
  </w:style>
  <w:style w:type="table" w:styleId="Mkatabulky">
    <w:name w:val="Table Grid"/>
    <w:basedOn w:val="Normlntabulka"/>
    <w:rsid w:val="001F48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1F4814"/>
    <w:rPr>
      <w:b/>
      <w:sz w:val="24"/>
    </w:rPr>
  </w:style>
  <w:style w:type="character" w:styleId="Odkaznakoment">
    <w:name w:val="annotation reference"/>
    <w:basedOn w:val="Standardnpsmoodstavce"/>
    <w:unhideWhenUsed/>
    <w:rsid w:val="001F4814"/>
    <w:rPr>
      <w:sz w:val="16"/>
      <w:szCs w:val="16"/>
    </w:rPr>
  </w:style>
  <w:style w:type="paragraph" w:styleId="Textbubliny">
    <w:name w:val="Balloon Text"/>
    <w:basedOn w:val="Normln"/>
    <w:link w:val="TextbublinyChar"/>
    <w:rsid w:val="001F481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D2B6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F4814"/>
  </w:style>
  <w:style w:type="character" w:customStyle="1" w:styleId="TextkomenteChar">
    <w:name w:val="Text komentáře Char"/>
    <w:basedOn w:val="Standardnpsmoodstavce"/>
    <w:link w:val="Textkomente"/>
    <w:rsid w:val="001F4814"/>
  </w:style>
  <w:style w:type="character" w:customStyle="1" w:styleId="TextnormyCharChar">
    <w:name w:val="Text normy Char Char"/>
    <w:semiHidden/>
    <w:rsid w:val="001F481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1F4814"/>
  </w:style>
  <w:style w:type="paragraph" w:customStyle="1" w:styleId="NadpisObr">
    <w:name w:val="NadpisObr"/>
    <w:basedOn w:val="Nadpis4"/>
    <w:next w:val="Textnormy"/>
    <w:qFormat/>
    <w:rsid w:val="001F481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1F4814"/>
    <w:pPr>
      <w:jc w:val="center"/>
    </w:pPr>
  </w:style>
  <w:style w:type="paragraph" w:customStyle="1" w:styleId="NadpisTabObr">
    <w:name w:val="NadpisTabObr"/>
    <w:basedOn w:val="Nadpislnku"/>
    <w:next w:val="Textnormy"/>
    <w:rsid w:val="006D2B67"/>
    <w:pPr>
      <w:keepNext w:val="0"/>
      <w:jc w:val="center"/>
    </w:pPr>
  </w:style>
  <w:style w:type="character" w:customStyle="1" w:styleId="ZhlavChar">
    <w:name w:val="Záhlaví Char"/>
    <w:basedOn w:val="Standardnpsmoodstavce"/>
    <w:link w:val="Zhlav"/>
    <w:rsid w:val="007A4F98"/>
    <w:rPr>
      <w:sz w:val="18"/>
    </w:rPr>
  </w:style>
  <w:style w:type="character" w:customStyle="1" w:styleId="ZpatChar">
    <w:name w:val="Zápatí Char"/>
    <w:basedOn w:val="Standardnpsmoodstavce"/>
    <w:link w:val="Zpat"/>
    <w:rsid w:val="007A4F98"/>
    <w:rPr>
      <w:sz w:val="18"/>
    </w:rPr>
  </w:style>
  <w:style w:type="character" w:customStyle="1" w:styleId="NadpislnkuChar">
    <w:name w:val="Nadpis článku Char"/>
    <w:link w:val="Nadpislnku"/>
    <w:rsid w:val="001F4814"/>
    <w:rPr>
      <w:b/>
    </w:rPr>
  </w:style>
  <w:style w:type="paragraph" w:styleId="Revize">
    <w:name w:val="Revision"/>
    <w:hidden/>
    <w:uiPriority w:val="99"/>
    <w:semiHidden/>
    <w:rsid w:val="00A13114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1F481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1F4814"/>
    <w:rPr>
      <w:b/>
      <w:bCs/>
    </w:rPr>
  </w:style>
  <w:style w:type="character" w:styleId="Sledovanodkaz">
    <w:name w:val="FollowedHyperlink"/>
    <w:basedOn w:val="Standardnpsmoodstavce"/>
    <w:semiHidden/>
    <w:unhideWhenUsed/>
    <w:rsid w:val="001F4814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1F481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portal.gov.cz/app/zakony/download?idBiblio=45184&amp;nr=49%7E2F1997%7E20Sb.&amp;ft=pdf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eshop.agentura-cas.cz/" TargetMode="External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agenturacas.gov.cz/" TargetMode="Externa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4</Pages>
  <Words>1085</Words>
  <Characters>6407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Ediční oddělení</dc:creator>
  <cp:keywords/>
  <cp:lastModifiedBy>Koutská Miloslava</cp:lastModifiedBy>
  <cp:revision>7</cp:revision>
  <cp:lastPrinted>2020-10-29T07:20:00Z</cp:lastPrinted>
  <dcterms:created xsi:type="dcterms:W3CDTF">2024-08-19T08:41:00Z</dcterms:created>
  <dcterms:modified xsi:type="dcterms:W3CDTF">2025-02-04T08:46:00Z</dcterms:modified>
</cp:coreProperties>
</file>