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C18B64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0EE8C41E" wp14:editId="12B879C9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24B301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450D48F4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ED4847" w:rsidRPr="003C0158">
        <w:rPr>
          <w:sz w:val="16"/>
        </w:rPr>
        <w:t>13.040.40; 91.140.10</w:t>
      </w:r>
      <w:r>
        <w:tab/>
      </w:r>
      <w:r>
        <w:tab/>
      </w:r>
      <w:r>
        <w:rPr>
          <w:b/>
        </w:rPr>
        <w:t xml:space="preserve">Měsíc </w:t>
      </w:r>
      <w:r w:rsidR="00ED4847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67F202A8" w14:textId="77777777">
        <w:trPr>
          <w:cantSplit/>
          <w:trHeight w:val="1701"/>
        </w:trPr>
        <w:tc>
          <w:tcPr>
            <w:tcW w:w="7371" w:type="dxa"/>
          </w:tcPr>
          <w:p w14:paraId="29B49960" w14:textId="77777777" w:rsidR="00A83EAB" w:rsidRDefault="00ED4847" w:rsidP="00ED4847">
            <w:pPr>
              <w:pStyle w:val="1StrNN-4-3"/>
            </w:pPr>
            <w:r w:rsidRPr="003C0158">
              <w:t>Přenosná elektrická zařízení pro měření parametrů spalinových plynů</w:t>
            </w:r>
            <w:r>
              <w:t xml:space="preserve"> – </w:t>
            </w:r>
            <w:r w:rsidRPr="003C0158">
              <w:t xml:space="preserve">Použití při uvádění </w:t>
            </w:r>
            <w:r>
              <w:br/>
            </w:r>
            <w:r w:rsidRPr="003C0158">
              <w:t>do provozu, servisu a</w:t>
            </w:r>
            <w:r>
              <w:t> </w:t>
            </w:r>
            <w:r w:rsidRPr="003C0158">
              <w:t>údržbě plynem ohřívaných bojlerů</w:t>
            </w:r>
          </w:p>
        </w:tc>
        <w:tc>
          <w:tcPr>
            <w:tcW w:w="2552" w:type="dxa"/>
          </w:tcPr>
          <w:p w14:paraId="106CBE76" w14:textId="77777777" w:rsidR="00ED4847" w:rsidRDefault="00ED4847" w:rsidP="00ED4847">
            <w:pPr>
              <w:pStyle w:val="1StrCN"/>
              <w:rPr>
                <w:b w:val="0"/>
                <w:sz w:val="28"/>
              </w:rPr>
            </w:pPr>
            <w:r>
              <w:t>ČSN</w:t>
            </w:r>
            <w:r>
              <w:br/>
              <w:t>CLC/TS 50612</w:t>
            </w:r>
            <w:r>
              <w:br/>
            </w:r>
          </w:p>
          <w:p w14:paraId="36D36C64" w14:textId="77777777" w:rsidR="00A83EAB" w:rsidRDefault="00ED4847" w:rsidP="00ED4847">
            <w:pPr>
              <w:pStyle w:val="1StrTrZn"/>
            </w:pPr>
            <w:r>
              <w:t>37 8393</w:t>
            </w:r>
          </w:p>
        </w:tc>
      </w:tr>
    </w:tbl>
    <w:p w14:paraId="4A5CC810" w14:textId="77777777" w:rsidR="00A83EAB" w:rsidRDefault="00A83EAB">
      <w:pPr>
        <w:pStyle w:val="Shodnost"/>
      </w:pPr>
    </w:p>
    <w:p w14:paraId="6473F044" w14:textId="77777777" w:rsidR="00ED4847" w:rsidRPr="003C0158" w:rsidRDefault="00ED4847" w:rsidP="00ED4847">
      <w:pPr>
        <w:pStyle w:val="Cizojazynnzev"/>
        <w:rPr>
          <w:lang w:val="en-AU"/>
        </w:rPr>
      </w:pPr>
      <w:r w:rsidRPr="003C0158">
        <w:rPr>
          <w:lang w:val="en-AU"/>
        </w:rPr>
        <w:t>Portable electrical apparatus for the measurement of combustion flue gas parameters</w:t>
      </w:r>
      <w:r>
        <w:rPr>
          <w:lang w:val="en-AU"/>
        </w:rPr>
        <w:t xml:space="preserve"> – </w:t>
      </w:r>
      <w:r w:rsidRPr="003C0158">
        <w:rPr>
          <w:lang w:val="en-AU"/>
        </w:rPr>
        <w:t xml:space="preserve">Guide to their use in the process </w:t>
      </w:r>
      <w:r>
        <w:rPr>
          <w:lang w:val="en-AU"/>
        </w:rPr>
        <w:br/>
      </w:r>
      <w:r w:rsidRPr="003C0158">
        <w:rPr>
          <w:lang w:val="en-AU"/>
        </w:rPr>
        <w:t>of commissioning, servicing and maintaining gas fired central heating boilers</w:t>
      </w:r>
    </w:p>
    <w:p w14:paraId="4ED55477" w14:textId="77777777" w:rsidR="00ED4847" w:rsidRPr="003C0158" w:rsidRDefault="00ED4847" w:rsidP="00ED4847">
      <w:pPr>
        <w:pStyle w:val="Cizojazynnzev"/>
        <w:rPr>
          <w:lang w:val="fr-FR"/>
        </w:rPr>
      </w:pPr>
      <w:r w:rsidRPr="003C0158">
        <w:rPr>
          <w:lang w:val="fr-FR"/>
        </w:rPr>
        <w:t>Appareils électriques portatifs pour la mesure des paramètres des gaz de combustion dans les conduits d</w:t>
      </w:r>
      <w:r>
        <w:rPr>
          <w:lang w:val="fr-FR"/>
        </w:rPr>
        <w:t>’</w:t>
      </w:r>
      <w:r w:rsidRPr="003C0158">
        <w:rPr>
          <w:lang w:val="fr-FR"/>
        </w:rPr>
        <w:t>évacuation</w:t>
      </w:r>
      <w:r>
        <w:rPr>
          <w:lang w:val="fr-FR"/>
        </w:rPr>
        <w:t xml:space="preserve"> – </w:t>
      </w:r>
      <w:r w:rsidRPr="003C0158">
        <w:rPr>
          <w:lang w:val="fr-FR"/>
        </w:rPr>
        <w:br/>
        <w:t>Utilisation dans le processus de mise en service, entretien et maintenance des chaudières à</w:t>
      </w:r>
      <w:r>
        <w:rPr>
          <w:lang w:val="fr-FR"/>
        </w:rPr>
        <w:t> </w:t>
      </w:r>
      <w:r w:rsidRPr="003C0158">
        <w:rPr>
          <w:lang w:val="fr-FR"/>
        </w:rPr>
        <w:t>gaz</w:t>
      </w:r>
    </w:p>
    <w:p w14:paraId="69164B6B" w14:textId="77777777" w:rsidR="00ED4847" w:rsidRPr="003C0158" w:rsidRDefault="00ED4847" w:rsidP="00ED4847">
      <w:pPr>
        <w:pStyle w:val="Cizojazynnzev"/>
        <w:spacing w:after="840"/>
        <w:rPr>
          <w:lang w:val="de-DE"/>
        </w:rPr>
      </w:pPr>
      <w:r w:rsidRPr="003C0158">
        <w:rPr>
          <w:lang w:val="de-DE"/>
        </w:rPr>
        <w:t>Tragbare elektrische Geräte zur Messung von Verbrennungsparametern</w:t>
      </w:r>
      <w:r>
        <w:rPr>
          <w:lang w:val="de-DE"/>
        </w:rPr>
        <w:t xml:space="preserve"> – </w:t>
      </w:r>
      <w:r w:rsidRPr="003C0158">
        <w:rPr>
          <w:lang w:val="de-DE"/>
        </w:rPr>
        <w:t xml:space="preserve">Einsatz für Inbetriebnahme, Wartung </w:t>
      </w:r>
      <w:r>
        <w:rPr>
          <w:lang w:val="de-DE"/>
        </w:rPr>
        <w:br/>
      </w:r>
      <w:r w:rsidRPr="003C0158">
        <w:rPr>
          <w:lang w:val="de-DE"/>
        </w:rPr>
        <w:t>und Instandsetzung von gasbefeuerten Heizungsanlagen</w:t>
      </w:r>
    </w:p>
    <w:p w14:paraId="1758412F" w14:textId="77777777" w:rsidR="00ED4847" w:rsidRPr="00ED4847" w:rsidRDefault="00ED4847" w:rsidP="00ED4847">
      <w:pPr>
        <w:pStyle w:val="Textnormy"/>
      </w:pPr>
      <w:r w:rsidRPr="00ED4847">
        <w:t>Tato norma přejímá anglickou verzi technické specifikace CLC/TS 50612:2013. Má stejný status jako oficiální verze.</w:t>
      </w:r>
    </w:p>
    <w:p w14:paraId="2FC95E79" w14:textId="77777777" w:rsidR="00ED4847" w:rsidRPr="00ED4847" w:rsidRDefault="00ED4847" w:rsidP="00ED4847">
      <w:pPr>
        <w:pStyle w:val="Textnormy"/>
        <w:rPr>
          <w:lang w:val="en-GB"/>
        </w:rPr>
      </w:pPr>
      <w:r w:rsidRPr="00ED4847">
        <w:t>This standard implements the English version of the Technical Specification CLC/TS 50612:2013</w:t>
      </w:r>
      <w:r w:rsidRPr="00ED4847">
        <w:rPr>
          <w:lang w:val="en-GB"/>
        </w:rPr>
        <w:t>. It has the same status as the official version.</w:t>
      </w:r>
    </w:p>
    <w:p w14:paraId="5B3A1CD9" w14:textId="77777777" w:rsidR="00ED4847" w:rsidRPr="00ED4847" w:rsidRDefault="00ED4847" w:rsidP="00ED4847">
      <w:pPr>
        <w:pStyle w:val="Nadpislnku"/>
      </w:pPr>
      <w:r w:rsidRPr="00ED4847">
        <w:t>Nahrazení předchozích norem</w:t>
      </w:r>
    </w:p>
    <w:p w14:paraId="5F71A951" w14:textId="77777777" w:rsidR="00ED4847" w:rsidRPr="00ED4847" w:rsidRDefault="00ED4847" w:rsidP="00ED4847">
      <w:pPr>
        <w:pStyle w:val="Textnormy"/>
      </w:pPr>
      <w:r w:rsidRPr="00ED4847">
        <w:t>Touto normou se nahrazuje ČSN CLC/TS 50612 (37 8393) z prosince 2008.</w:t>
      </w:r>
    </w:p>
    <w:p w14:paraId="26796544" w14:textId="77777777" w:rsidR="00ED4847" w:rsidRPr="00ED4847" w:rsidRDefault="00ED4847" w:rsidP="00ED4847">
      <w:pPr>
        <w:pStyle w:val="Nadpislnku"/>
      </w:pPr>
      <w:r w:rsidRPr="00ED4847">
        <w:t>Anotace obsahu</w:t>
      </w:r>
    </w:p>
    <w:p w14:paraId="1A2E9734" w14:textId="77777777" w:rsidR="00A83EAB" w:rsidRPr="00ED4847" w:rsidRDefault="00ED4847">
      <w:pPr>
        <w:pStyle w:val="Textnormy"/>
      </w:pPr>
      <w:r w:rsidRPr="00ED4847">
        <w:t>Tato norma uvádí návod pro výběr, použití a údržbu přenosných elektrických zařízení, která splňují požadavky souboru EN 50379 a jsou navržena pro měření parametrů spalinových plynů u ústředních vytápěných bojlerů na plynná paliva typu B a typu C.</w:t>
      </w:r>
    </w:p>
    <w:p w14:paraId="086B73E5" w14:textId="77777777" w:rsidR="00A83EAB" w:rsidRDefault="00A83EAB">
      <w:pPr>
        <w:pStyle w:val="Textnormy"/>
        <w:tabs>
          <w:tab w:val="right" w:pos="9923"/>
        </w:tabs>
      </w:pPr>
    </w:p>
    <w:p w14:paraId="1D49CF0B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33988AF9" w14:textId="77777777" w:rsidR="00ED4847" w:rsidRDefault="00ED4847" w:rsidP="00ED4847">
      <w:pPr>
        <w:pStyle w:val="Nadpiskapitoly"/>
        <w:spacing w:before="0"/>
      </w:pPr>
      <w:r>
        <w:lastRenderedPageBreak/>
        <w:t>Národní předmluva</w:t>
      </w:r>
    </w:p>
    <w:p w14:paraId="7E185236" w14:textId="77777777" w:rsidR="00ED4847" w:rsidRDefault="00ED4847" w:rsidP="00ED4847">
      <w:pPr>
        <w:pStyle w:val="Nadpislnku"/>
      </w:pPr>
      <w:r>
        <w:t>Upozornění na používání této normy</w:t>
      </w:r>
    </w:p>
    <w:p w14:paraId="3F75B8F9" w14:textId="3BBA322A" w:rsidR="00ED4847" w:rsidRDefault="00ED4847" w:rsidP="00ED4847">
      <w:pPr>
        <w:pStyle w:val="Textnormy"/>
        <w:rPr>
          <w:rFonts w:cs="Arial"/>
          <w:color w:val="000000"/>
        </w:rPr>
      </w:pPr>
      <w:r w:rsidRPr="00B71511">
        <w:t xml:space="preserve">Tato norma přejímá technickou specifikaci </w:t>
      </w:r>
      <w:r>
        <w:t>CLC/TS 50612:2013</w:t>
      </w:r>
      <w:r w:rsidRPr="00B71511">
        <w:t xml:space="preserve"> vydanou v</w:t>
      </w:r>
      <w:r>
        <w:t> </w:t>
      </w:r>
      <w:r w:rsidRPr="00B71511">
        <w:t>souladu s</w:t>
      </w:r>
      <w:r>
        <w:t> v</w:t>
      </w:r>
      <w:r w:rsidRPr="00B71511">
        <w:t>nitřními předpisy CEN/CENELEC, část</w:t>
      </w:r>
      <w:r>
        <w:t> </w:t>
      </w:r>
      <w:r w:rsidRPr="00B71511">
        <w:t>2</w:t>
      </w:r>
      <w:r>
        <w:rPr>
          <w:rFonts w:cs="Arial"/>
          <w:color w:val="000000"/>
        </w:rPr>
        <w:t xml:space="preserve"> </w:t>
      </w:r>
    </w:p>
    <w:p w14:paraId="22460CCA" w14:textId="77777777" w:rsidR="00ED4847" w:rsidRDefault="00ED4847" w:rsidP="00ED4847">
      <w:pPr>
        <w:pStyle w:val="Nadpislnku"/>
      </w:pPr>
      <w:r>
        <w:t>Změny proti předchozí normě</w:t>
      </w:r>
    </w:p>
    <w:p w14:paraId="74655D2C" w14:textId="77777777" w:rsidR="00ED4847" w:rsidRPr="005F4EDF" w:rsidRDefault="00ED4847" w:rsidP="00ED4847">
      <w:pPr>
        <w:pStyle w:val="Textnormy"/>
      </w:pPr>
      <w:r>
        <w:t>Norma byla technicky zcela revidována tak, aby obsahovala nově navržené metody měření spalinových plynů jak při uvádění zařízení do provozu, tak také při provádění údržby a následného ověřování.</w:t>
      </w:r>
    </w:p>
    <w:p w14:paraId="6FB45F3C" w14:textId="77777777" w:rsidR="00ED4847" w:rsidRDefault="00ED4847" w:rsidP="00ED4847">
      <w:pPr>
        <w:pStyle w:val="Nadpislnku"/>
      </w:pPr>
      <w:r>
        <w:t>Informace o citovaných dokumentech</w:t>
      </w:r>
    </w:p>
    <w:p w14:paraId="75B6838B" w14:textId="77777777" w:rsidR="00ED4847" w:rsidRDefault="00ED4847" w:rsidP="00ED4847">
      <w:pPr>
        <w:pStyle w:val="Textnormy"/>
      </w:pPr>
      <w:r>
        <w:rPr>
          <w:spacing w:val="-2"/>
        </w:rPr>
        <w:t>EN 50291-1</w:t>
      </w:r>
      <w:r w:rsidRPr="004B19F3">
        <w:rPr>
          <w:spacing w:val="-2"/>
        </w:rPr>
        <w:t> </w:t>
      </w:r>
      <w:r>
        <w:rPr>
          <w:spacing w:val="-2"/>
        </w:rPr>
        <w:t xml:space="preserve">zavedena v </w:t>
      </w:r>
      <w:r>
        <w:t>ČSN EN 50291-1 (37 8372)</w:t>
      </w:r>
      <w:r>
        <w:t> </w:t>
      </w:r>
      <w:r w:rsidRPr="003C0158">
        <w:t>Elektrická zařízení pro detekci oxidu uhelnatého v</w:t>
      </w:r>
      <w:r>
        <w:t> </w:t>
      </w:r>
      <w:r w:rsidRPr="003C0158">
        <w:t>obytných prostorech</w:t>
      </w:r>
      <w:r>
        <w:t xml:space="preserve"> – </w:t>
      </w:r>
      <w:r w:rsidRPr="003C0158">
        <w:t>Část 1: Metody zkoušek a</w:t>
      </w:r>
      <w:r>
        <w:t> </w:t>
      </w:r>
      <w:r w:rsidRPr="003C0158">
        <w:t>funkční požadavky</w:t>
      </w:r>
    </w:p>
    <w:p w14:paraId="75E16A59" w14:textId="77777777" w:rsidR="00ED4847" w:rsidRPr="003C0158" w:rsidRDefault="00ED4847" w:rsidP="00ED4847">
      <w:pPr>
        <w:pStyle w:val="Nadpislnku"/>
      </w:pPr>
      <w:r w:rsidRPr="003C0158">
        <w:t>Souvisící ČSN</w:t>
      </w:r>
    </w:p>
    <w:p w14:paraId="63B9C61A" w14:textId="77777777" w:rsidR="00ED4847" w:rsidRPr="003C0158" w:rsidRDefault="00ED4847" w:rsidP="00ED4847">
      <w:pPr>
        <w:pStyle w:val="Textnormy"/>
      </w:pPr>
      <w:r w:rsidRPr="003C0158">
        <w:t>ČSN</w:t>
      </w:r>
      <w:r>
        <w:t> EN 50379-1 ed. 2:2013 (37 8390)</w:t>
      </w:r>
      <w:r>
        <w:t> </w:t>
      </w:r>
      <w:r w:rsidRPr="003C0158">
        <w:t>Přenosná elektrická zařízení pro měření parametrů kouřových plynů z</w:t>
      </w:r>
      <w:r>
        <w:t> </w:t>
      </w:r>
      <w:r w:rsidRPr="003C0158">
        <w:t>topných zařízení</w:t>
      </w:r>
      <w:r>
        <w:t xml:space="preserve"> – </w:t>
      </w:r>
      <w:r w:rsidRPr="003C0158">
        <w:t>Část 1: Obecné požadavky a</w:t>
      </w:r>
      <w:r>
        <w:t> </w:t>
      </w:r>
      <w:r w:rsidRPr="003C0158">
        <w:t>metody zkoušek</w:t>
      </w:r>
    </w:p>
    <w:p w14:paraId="68F1B154" w14:textId="77777777" w:rsidR="00ED4847" w:rsidRDefault="00ED4847" w:rsidP="00ED4847">
      <w:pPr>
        <w:pStyle w:val="Textnormy"/>
      </w:pPr>
      <w:r>
        <w:t>ČSN EN 50379-2 ed. </w:t>
      </w:r>
      <w:r w:rsidRPr="003C0158">
        <w:t>2</w:t>
      </w:r>
      <w:r>
        <w:t xml:space="preserve"> (37 8390)</w:t>
      </w:r>
      <w:r>
        <w:t> </w:t>
      </w:r>
      <w:r w:rsidRPr="003C0158">
        <w:t xml:space="preserve">Přenosná elektrická zařízení pro měření parametrů kouřových plynů </w:t>
      </w:r>
      <w:r w:rsidR="00167441">
        <w:br/>
      </w:r>
      <w:r w:rsidRPr="003C0158">
        <w:t>z</w:t>
      </w:r>
      <w:r>
        <w:t> </w:t>
      </w:r>
      <w:r w:rsidRPr="003C0158">
        <w:t>topných zařízení</w:t>
      </w:r>
      <w:r>
        <w:t xml:space="preserve"> – </w:t>
      </w:r>
      <w:r w:rsidRPr="003C0158">
        <w:t>Část 2: Funkční požadavky na zařízení určená pro úřední kontroly a</w:t>
      </w:r>
      <w:r>
        <w:t> </w:t>
      </w:r>
      <w:r w:rsidRPr="003C0158">
        <w:t>hodnocení</w:t>
      </w:r>
    </w:p>
    <w:p w14:paraId="1B2CD436" w14:textId="77777777" w:rsidR="00ED4847" w:rsidRPr="003C0158" w:rsidRDefault="00ED4847" w:rsidP="00ED4847">
      <w:pPr>
        <w:pStyle w:val="Textnormy"/>
      </w:pPr>
      <w:r>
        <w:t>ČSN EN 50379-3 ed. </w:t>
      </w:r>
      <w:r w:rsidRPr="003C0158">
        <w:t>2</w:t>
      </w:r>
      <w:r>
        <w:t xml:space="preserve"> (37 8390)</w:t>
      </w:r>
      <w:r>
        <w:t> </w:t>
      </w:r>
      <w:r w:rsidRPr="003C0158">
        <w:t xml:space="preserve">Přenosná elektrická zařízení pro měření parametrů kouřových plynů </w:t>
      </w:r>
      <w:r w:rsidR="00167441">
        <w:br/>
      </w:r>
      <w:r w:rsidRPr="003C0158">
        <w:t>z</w:t>
      </w:r>
      <w:r>
        <w:t> </w:t>
      </w:r>
      <w:r w:rsidRPr="003C0158">
        <w:t>topných zařízení</w:t>
      </w:r>
      <w:r>
        <w:t xml:space="preserve"> – </w:t>
      </w:r>
      <w:r w:rsidRPr="003C0158">
        <w:t>Část 3: Funkční požadavky na zařízení určená pro neúřední servisní pou</w:t>
      </w:r>
      <w:r>
        <w:t>žití pro plynová topná zařízení</w:t>
      </w:r>
    </w:p>
    <w:p w14:paraId="21D5D64A" w14:textId="77777777" w:rsidR="00ED4847" w:rsidRDefault="00ED4847" w:rsidP="00ED4847">
      <w:pPr>
        <w:pStyle w:val="Nadpislnku"/>
      </w:pPr>
      <w:r>
        <w:t>Vysvětlivky k textu této normy</w:t>
      </w:r>
    </w:p>
    <w:p w14:paraId="238A90FA" w14:textId="77777777" w:rsidR="00ED4847" w:rsidRDefault="00ED4847" w:rsidP="00ED4847">
      <w:pPr>
        <w:pStyle w:val="Textnormy"/>
      </w:pPr>
      <w:r w:rsidRPr="00A23A8D">
        <w:t>V případě nedatovaných odkazů na evropské/mezinárodní normy jsou ČSN uvedené v článcí</w:t>
      </w:r>
      <w:r>
        <w:t xml:space="preserve">ch „Informace </w:t>
      </w:r>
      <w:r w:rsidR="00167441">
        <w:br/>
      </w:r>
      <w:r>
        <w:t>o </w:t>
      </w:r>
      <w:r w:rsidRPr="00A23A8D">
        <w:t>citovaných dokumentech“ a „Souvisící ČSN“ nejnovějšími vydáními, platnými v době schválení této normy. Při používání této normy je třeba vždy použít taková vydání ČSN, která přejímají nejnovější vydání nedatovaných evropských/mezinárodních norem (včetně všech změn)</w:t>
      </w:r>
      <w:r>
        <w:t>.</w:t>
      </w:r>
    </w:p>
    <w:p w14:paraId="15E89439" w14:textId="77777777" w:rsidR="00ED4847" w:rsidRPr="003C0158" w:rsidRDefault="00ED4847" w:rsidP="00ED4847">
      <w:pPr>
        <w:pStyle w:val="Nadpislnku"/>
      </w:pPr>
      <w:r w:rsidRPr="003C0158">
        <w:t>Upozornění na národní přílohu</w:t>
      </w:r>
    </w:p>
    <w:p w14:paraId="168B1A8A" w14:textId="244F66DB" w:rsidR="00ED4847" w:rsidRPr="003C0158" w:rsidRDefault="00ED4847" w:rsidP="00ED4847">
      <w:pPr>
        <w:pStyle w:val="Textnormy"/>
      </w:pPr>
      <w:r w:rsidRPr="003C0158">
        <w:t xml:space="preserve">Do této normy byla doplněna </w:t>
      </w:r>
      <w:r w:rsidR="00D64B0C">
        <w:t xml:space="preserve">informativní </w:t>
      </w:r>
      <w:r w:rsidRPr="003C0158">
        <w:t>národní příloha NA, která obsahuje překlad textu ka</w:t>
      </w:r>
      <w:r>
        <w:t>p</w:t>
      </w:r>
      <w:r w:rsidRPr="003C0158">
        <w:t xml:space="preserve">itoly </w:t>
      </w:r>
      <w:r w:rsidR="00D64B0C">
        <w:t xml:space="preserve">3 </w:t>
      </w:r>
      <w:r>
        <w:t>Termíny a</w:t>
      </w:r>
      <w:r w:rsidR="00D64B0C">
        <w:t> </w:t>
      </w:r>
      <w:r>
        <w:t xml:space="preserve">definice přejímané </w:t>
      </w:r>
      <w:r w:rsidRPr="003C0158">
        <w:t>technické specifikace.</w:t>
      </w:r>
    </w:p>
    <w:p w14:paraId="6C5411ED" w14:textId="77777777" w:rsidR="009F3CCF" w:rsidRDefault="009F3CCF" w:rsidP="004A6616">
      <w:pPr>
        <w:pStyle w:val="Nadpislnku"/>
      </w:pPr>
      <w:r w:rsidRPr="004A6616">
        <w:t>Vypracování</w:t>
      </w:r>
      <w:r w:rsidRPr="00AC0FA5">
        <w:t xml:space="preserve"> normy</w:t>
      </w:r>
    </w:p>
    <w:p w14:paraId="7040A2C3" w14:textId="073CE049" w:rsidR="009F3CCF" w:rsidRDefault="009F3CCF" w:rsidP="009F3CCF">
      <w:pPr>
        <w:pStyle w:val="Textnormy"/>
      </w:pPr>
      <w:r>
        <w:t>Zpracovatel Národní přílohy</w:t>
      </w:r>
      <w:r>
        <w:rPr>
          <w:bCs/>
        </w:rPr>
        <w:t>:</w:t>
      </w:r>
      <w:r>
        <w:rPr>
          <w:bCs/>
          <w:i/>
          <w:iCs/>
        </w:rPr>
        <w:t xml:space="preserve"> </w:t>
      </w:r>
      <w:r w:rsidRPr="003C0158">
        <w:t>Fyzikálně technický zkušební ústav s.p., Ostrava-Radvanice, IČ</w:t>
      </w:r>
      <w:r>
        <w:t>O</w:t>
      </w:r>
      <w:r w:rsidRPr="003C0158">
        <w:t xml:space="preserve"> 577880</w:t>
      </w:r>
    </w:p>
    <w:p w14:paraId="7AB101CE" w14:textId="155A8981" w:rsidR="009F3CCF" w:rsidRPr="00706EA2" w:rsidRDefault="009F3CCF" w:rsidP="009F3CCF">
      <w:pPr>
        <w:pStyle w:val="Textnormy"/>
      </w:pPr>
      <w:r w:rsidRPr="00706EA2">
        <w:t xml:space="preserve">Technická normalizační komise: </w:t>
      </w:r>
      <w:r w:rsidRPr="003C0158">
        <w:t>TNK 121 Zařízení a</w:t>
      </w:r>
      <w:r>
        <w:t> </w:t>
      </w:r>
      <w:r w:rsidRPr="003C0158">
        <w:t>ochranné systémy pro prostředí s</w:t>
      </w:r>
      <w:r>
        <w:t> </w:t>
      </w:r>
      <w:r w:rsidRPr="003C0158">
        <w:t>nebezpečím výbuchu</w:t>
      </w:r>
    </w:p>
    <w:p w14:paraId="739F3C7C" w14:textId="58695DDD" w:rsidR="009F3CCF" w:rsidRPr="001F1DC8" w:rsidRDefault="009F3CCF" w:rsidP="009F3CCF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3" w:history="1">
        <w:r w:rsidR="00CC64C3">
          <w:rPr>
            <w:rStyle w:val="Hypertextovodkaz"/>
          </w:rPr>
          <w:t>Česká agentura pro standardizaci, státní příspěvková organizace</w:t>
        </w:r>
      </w:hyperlink>
    </w:p>
    <w:p w14:paraId="3EE05C9B" w14:textId="5004DFB4" w:rsidR="009F3CCF" w:rsidRDefault="009F3CCF" w:rsidP="009F3CCF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CC64C3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4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02F942E5" w14:textId="364635CF" w:rsidR="00ED4847" w:rsidRDefault="009F3CCF" w:rsidP="00ED4847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2F880171" w14:textId="77777777" w:rsidR="00ED4847" w:rsidRDefault="00ED4847" w:rsidP="00ED4847">
      <w:pPr>
        <w:pStyle w:val="Nadpis1"/>
        <w:spacing w:before="0" w:after="120"/>
      </w:pPr>
      <w:r>
        <w:br w:type="page"/>
      </w:r>
      <w:r>
        <w:lastRenderedPageBreak/>
        <w:t xml:space="preserve">Národní příloha NA </w:t>
      </w:r>
      <w:r w:rsidRPr="006270BE">
        <w:rPr>
          <w:b w:val="0"/>
        </w:rPr>
        <w:t>(informativní)</w:t>
      </w:r>
    </w:p>
    <w:p w14:paraId="0FAC1303" w14:textId="77777777" w:rsidR="00ED4847" w:rsidRPr="000035A3" w:rsidRDefault="00ED4847" w:rsidP="00ED4847">
      <w:pPr>
        <w:pStyle w:val="Nadpis1"/>
      </w:pPr>
      <w:r>
        <w:t>3</w:t>
      </w:r>
      <w:r>
        <w:t> </w:t>
      </w:r>
      <w:r>
        <w:t>Termíny a d</w:t>
      </w:r>
      <w:r w:rsidRPr="000035A3">
        <w:t>efinice</w:t>
      </w:r>
    </w:p>
    <w:p w14:paraId="57622518" w14:textId="77777777" w:rsidR="00ED4847" w:rsidRDefault="00ED4847" w:rsidP="00ED4847">
      <w:pPr>
        <w:pStyle w:val="Textnormy"/>
      </w:pPr>
      <w:r>
        <w:t>Pro účely tohoto dokumentu platí dále uvedené termíny a definice.</w:t>
      </w:r>
    </w:p>
    <w:p w14:paraId="6B35DCBD" w14:textId="77777777" w:rsidR="00ED4847" w:rsidRPr="003C0158" w:rsidRDefault="00ED4847" w:rsidP="00ED4847">
      <w:pPr>
        <w:pStyle w:val="Nadpis2"/>
      </w:pPr>
      <w:bookmarkStart w:id="0" w:name="_Toc390862321"/>
      <w:r w:rsidRPr="003C0158">
        <w:t>3.1</w:t>
      </w:r>
      <w:r w:rsidRPr="003C0158">
        <w:t> </w:t>
      </w:r>
      <w:r w:rsidRPr="003C0158">
        <w:t>Typ zařízení</w:t>
      </w:r>
      <w:bookmarkEnd w:id="0"/>
    </w:p>
    <w:p w14:paraId="0C622265" w14:textId="77777777" w:rsidR="00ED4847" w:rsidRPr="003C0158" w:rsidRDefault="00ED4847" w:rsidP="00167441">
      <w:pPr>
        <w:pStyle w:val="Textnormy"/>
        <w:spacing w:before="240"/>
      </w:pPr>
      <w:r w:rsidRPr="003C0158">
        <w:rPr>
          <w:b/>
        </w:rPr>
        <w:t>3.1.1</w:t>
      </w:r>
      <w:r w:rsidRPr="003C0158">
        <w:rPr>
          <w:b/>
        </w:rPr>
        <w:br/>
        <w:t>přenosný elektrický detektor plynných spalin</w:t>
      </w:r>
      <w:r w:rsidRPr="003C0158">
        <w:t xml:space="preserve"> </w:t>
      </w:r>
      <w:r w:rsidRPr="003C0158">
        <w:rPr>
          <w:i/>
        </w:rPr>
        <w:t>(portable electrical combustion flue gas analyser)</w:t>
      </w:r>
      <w:r w:rsidRPr="003C0158">
        <w:tab/>
      </w:r>
      <w:r w:rsidRPr="003C0158">
        <w:br/>
        <w:t>zařízení, které detekuje a</w:t>
      </w:r>
      <w:r>
        <w:t> </w:t>
      </w:r>
      <w:r w:rsidRPr="003C0158">
        <w:t>měří koncentraci složek plynných spalin a</w:t>
      </w:r>
      <w:r>
        <w:t> </w:t>
      </w:r>
      <w:r w:rsidRPr="003C0158">
        <w:t>jasně zobrazuje výsledky</w:t>
      </w:r>
    </w:p>
    <w:p w14:paraId="2BCE272D" w14:textId="1FD42CEA" w:rsidR="00ED4847" w:rsidRPr="003C0158" w:rsidRDefault="00ED4847" w:rsidP="00ED4847">
      <w:pPr>
        <w:pStyle w:val="Poznmka"/>
      </w:pPr>
      <w:r w:rsidRPr="003C0158">
        <w:t>POZNÁMKA</w:t>
      </w:r>
      <w:r w:rsidR="00D51D31">
        <w:t> </w:t>
      </w:r>
      <w:r w:rsidRPr="003C0158">
        <w:t>1</w:t>
      </w:r>
      <w:r>
        <w:t> </w:t>
      </w:r>
      <w:r w:rsidRPr="003C0158">
        <w:t>k</w:t>
      </w:r>
      <w:r w:rsidR="00D51D31">
        <w:t> </w:t>
      </w:r>
      <w:r w:rsidRPr="003C0158">
        <w:t>heslu</w:t>
      </w:r>
      <w:r w:rsidRPr="003C0158">
        <w:t> </w:t>
      </w:r>
      <w:r w:rsidRPr="003C0158">
        <w:t>Kapitola 5</w:t>
      </w:r>
      <w:r w:rsidR="00843FE2">
        <w:t xml:space="preserve"> </w:t>
      </w:r>
      <w:r w:rsidRPr="003C0158">
        <w:t>a</w:t>
      </w:r>
      <w:r w:rsidR="00843FE2">
        <w:t> </w:t>
      </w:r>
      <w:r w:rsidRPr="003C0158">
        <w:t>příloha</w:t>
      </w:r>
      <w:r w:rsidR="00843FE2">
        <w:t> </w:t>
      </w:r>
      <w:r w:rsidRPr="003C0158">
        <w:t>A</w:t>
      </w:r>
      <w:r w:rsidR="00843FE2">
        <w:t xml:space="preserve"> </w:t>
      </w:r>
      <w:r w:rsidRPr="003C0158">
        <w:t>uvádí informace o</w:t>
      </w:r>
      <w:r>
        <w:t> </w:t>
      </w:r>
      <w:r w:rsidRPr="003C0158">
        <w:t>vhodných přenosných elektrických detektorech plynných spalin.</w:t>
      </w:r>
    </w:p>
    <w:p w14:paraId="0A5B7AC2" w14:textId="77777777" w:rsidR="00ED4847" w:rsidRPr="003C0158" w:rsidRDefault="00ED4847" w:rsidP="00ED4847">
      <w:pPr>
        <w:pStyle w:val="Textnormy"/>
      </w:pPr>
      <w:r>
        <w:t>atd.</w:t>
      </w:r>
    </w:p>
    <w:p w14:paraId="72812C1B" w14:textId="77777777" w:rsidR="00ED4847" w:rsidRPr="00010C53" w:rsidRDefault="00ED4847" w:rsidP="00ED4847">
      <w:pPr>
        <w:pStyle w:val="Textnormy"/>
        <w:shd w:val="clear" w:color="auto" w:fill="FFFF99"/>
        <w:jc w:val="center"/>
        <w:rPr>
          <w:b/>
          <w:color w:val="FF0000"/>
        </w:rPr>
      </w:pPr>
      <w:r>
        <w:br w:type="page"/>
      </w:r>
      <w:bookmarkStart w:id="1" w:name="_Toc359251365"/>
      <w:bookmarkStart w:id="2" w:name="_Toc359251523"/>
      <w:bookmarkStart w:id="3" w:name="_Toc359251683"/>
      <w:bookmarkStart w:id="4" w:name="_Toc359251940"/>
      <w:bookmarkStart w:id="5" w:name="_Toc359252129"/>
      <w:bookmarkStart w:id="6" w:name="_Toc359252244"/>
      <w:bookmarkStart w:id="7" w:name="_Toc359252487"/>
      <w:bookmarkStart w:id="8" w:name="_Toc359252727"/>
      <w:bookmarkStart w:id="9" w:name="_Toc359252848"/>
      <w:bookmarkStart w:id="10" w:name="_Toc359252922"/>
      <w:bookmarkStart w:id="11" w:name="_Toc359283648"/>
      <w:bookmarkStart w:id="12" w:name="_Toc365965548"/>
      <w:bookmarkStart w:id="13" w:name="_Toc365967315"/>
      <w:bookmarkStart w:id="14" w:name="_Toc365968762"/>
      <w:bookmarkStart w:id="15" w:name="_Toc367082927"/>
      <w:bookmarkStart w:id="16" w:name="_Toc372429542"/>
      <w:bookmarkStart w:id="17" w:name="_Toc375302776"/>
      <w:bookmarkStart w:id="18" w:name="_Toc379098933"/>
      <w:bookmarkStart w:id="19" w:name="_Toc380735106"/>
      <w:bookmarkStart w:id="20" w:name="_Toc380735206"/>
      <w:bookmarkStart w:id="21" w:name="_Toc380825390"/>
      <w:bookmarkStart w:id="22" w:name="_Toc380827279"/>
      <w:bookmarkStart w:id="23" w:name="_Toc380886225"/>
      <w:bookmarkStart w:id="24" w:name="_Toc380886263"/>
      <w:bookmarkStart w:id="25" w:name="_Toc380886373"/>
      <w:bookmarkStart w:id="26" w:name="_Toc380886470"/>
      <w:bookmarkStart w:id="27" w:name="_Toc4487161"/>
      <w:bookmarkStart w:id="28" w:name="_Toc4487253"/>
      <w:r w:rsidRPr="00010C53">
        <w:rPr>
          <w:b/>
          <w:color w:val="FF0000"/>
        </w:rPr>
        <w:lastRenderedPageBreak/>
        <w:t>NÁSLEDUJE TEXT PŘEJÍMANÉHO ORIGINÁLU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</w:p>
    <w:p w14:paraId="6085FA86" w14:textId="77777777" w:rsidR="00A83EAB" w:rsidRDefault="00A83EAB" w:rsidP="00167441">
      <w:pPr>
        <w:pStyle w:val="Textnormy"/>
      </w:pPr>
    </w:p>
    <w:sectPr w:rsidR="00A83EAB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F3DA2E" w14:textId="77777777" w:rsidR="002C2449" w:rsidRDefault="002C2449">
      <w:r>
        <w:separator/>
      </w:r>
    </w:p>
  </w:endnote>
  <w:endnote w:type="continuationSeparator" w:id="0">
    <w:p w14:paraId="57B0A57B" w14:textId="77777777" w:rsidR="002C2449" w:rsidRDefault="002C24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0671F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74C0EDFE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D50FC0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2BCA2865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95ADC3" w14:textId="51C49BD2" w:rsidR="00F34746" w:rsidRPr="004A6616" w:rsidRDefault="004A6616" w:rsidP="004A6616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28BA7F67" wp14:editId="357044F0">
          <wp:simplePos x="0" y="0"/>
          <wp:positionH relativeFrom="column">
            <wp:posOffset>-92075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592750319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273D51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E80595" w14:textId="77777777" w:rsidR="00A83EAB" w:rsidRDefault="00A83EAB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2961E2">
      <w:rPr>
        <w:rStyle w:val="slostrnky"/>
        <w:noProof/>
      </w:rPr>
      <w:t>4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3CFF1" w14:textId="77777777" w:rsidR="00A83EAB" w:rsidRDefault="00A83EAB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2961E2"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F02F35" w14:textId="77777777" w:rsidR="002C2449" w:rsidRDefault="002C2449">
      <w:r>
        <w:separator/>
      </w:r>
    </w:p>
  </w:footnote>
  <w:footnote w:type="continuationSeparator" w:id="0">
    <w:p w14:paraId="307B0B38" w14:textId="77777777" w:rsidR="002C2449" w:rsidRDefault="002C24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26E1C1" w14:textId="77777777" w:rsidR="00F34746" w:rsidRDefault="00000000">
    <w:pPr>
      <w:pStyle w:val="Zhlav"/>
    </w:pPr>
    <w:r>
      <w:rPr>
        <w:noProof/>
      </w:rPr>
      <w:pict w14:anchorId="6A1849B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323314" o:spid="_x0000_s1029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119E62" w14:textId="77777777" w:rsidR="00F34746" w:rsidRDefault="00000000">
    <w:pPr>
      <w:pStyle w:val="Zhlav"/>
      <w:jc w:val="right"/>
    </w:pPr>
    <w:r>
      <w:rPr>
        <w:noProof/>
      </w:rPr>
      <w:pict w14:anchorId="40D2045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323315" o:spid="_x0000_s1030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EFBE5C" w14:textId="77777777" w:rsidR="002961E2" w:rsidRDefault="00000000">
    <w:pPr>
      <w:pStyle w:val="Zhlav"/>
    </w:pPr>
    <w:r>
      <w:rPr>
        <w:noProof/>
      </w:rPr>
      <w:pict w14:anchorId="53FE7E2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323313" o:spid="_x0000_s1028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7F7BC1" w14:textId="77777777" w:rsidR="00A83EAB" w:rsidRDefault="00000000">
    <w:pPr>
      <w:pStyle w:val="Zhlav"/>
    </w:pPr>
    <w:r>
      <w:rPr>
        <w:noProof/>
      </w:rPr>
      <w:pict w14:anchorId="7CD32E4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323317" o:spid="_x0000_s1032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83EAB">
      <w:t xml:space="preserve">ČSN </w:t>
    </w:r>
    <w:r w:rsidR="00965F6F">
      <w:t>CLC/TS 50612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076E66" w14:textId="77777777" w:rsidR="00A83EAB" w:rsidRDefault="00000000">
    <w:pPr>
      <w:pStyle w:val="Zhlav"/>
      <w:jc w:val="right"/>
    </w:pPr>
    <w:r>
      <w:rPr>
        <w:noProof/>
      </w:rPr>
      <w:pict w14:anchorId="4CA4571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323318" o:spid="_x0000_s1033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83EAB">
      <w:t xml:space="preserve">ČSN </w:t>
    </w:r>
    <w:r w:rsidR="00965F6F">
      <w:t>CLC/TS 50612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9A566A" w14:textId="77777777" w:rsidR="000B24D9" w:rsidRDefault="00000000">
    <w:pPr>
      <w:pStyle w:val="Zhlav"/>
    </w:pPr>
    <w:r>
      <w:rPr>
        <w:noProof/>
      </w:rPr>
      <w:pict w14:anchorId="57AE688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323316" o:spid="_x0000_s1031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931745816">
    <w:abstractNumId w:val="17"/>
  </w:num>
  <w:num w:numId="2" w16cid:durableId="2089958065">
    <w:abstractNumId w:val="14"/>
  </w:num>
  <w:num w:numId="3" w16cid:durableId="1562861301">
    <w:abstractNumId w:val="15"/>
  </w:num>
  <w:num w:numId="4" w16cid:durableId="968902552">
    <w:abstractNumId w:val="9"/>
  </w:num>
  <w:num w:numId="5" w16cid:durableId="566771347">
    <w:abstractNumId w:val="10"/>
  </w:num>
  <w:num w:numId="6" w16cid:durableId="1554273570">
    <w:abstractNumId w:val="20"/>
    <w:lvlOverride w:ilvl="0">
      <w:startOverride w:val="1"/>
    </w:lvlOverride>
  </w:num>
  <w:num w:numId="7" w16cid:durableId="1799255621">
    <w:abstractNumId w:val="11"/>
  </w:num>
  <w:num w:numId="8" w16cid:durableId="872839394">
    <w:abstractNumId w:val="16"/>
  </w:num>
  <w:num w:numId="9" w16cid:durableId="1663582145">
    <w:abstractNumId w:val="10"/>
    <w:lvlOverride w:ilvl="0">
      <w:startOverride w:val="1"/>
    </w:lvlOverride>
  </w:num>
  <w:num w:numId="10" w16cid:durableId="732123284">
    <w:abstractNumId w:val="20"/>
  </w:num>
  <w:num w:numId="11" w16cid:durableId="1351954331">
    <w:abstractNumId w:val="13"/>
  </w:num>
  <w:num w:numId="12" w16cid:durableId="751315217">
    <w:abstractNumId w:val="12"/>
  </w:num>
  <w:num w:numId="13" w16cid:durableId="1379353305">
    <w:abstractNumId w:val="0"/>
  </w:num>
  <w:num w:numId="14" w16cid:durableId="1425876110">
    <w:abstractNumId w:val="1"/>
  </w:num>
  <w:num w:numId="15" w16cid:durableId="1289701201">
    <w:abstractNumId w:val="3"/>
  </w:num>
  <w:num w:numId="16" w16cid:durableId="1359772357">
    <w:abstractNumId w:val="2"/>
  </w:num>
  <w:num w:numId="17" w16cid:durableId="1029143167">
    <w:abstractNumId w:val="8"/>
  </w:num>
  <w:num w:numId="18" w16cid:durableId="1054354889">
    <w:abstractNumId w:val="7"/>
  </w:num>
  <w:num w:numId="19" w16cid:durableId="1591694549">
    <w:abstractNumId w:val="6"/>
  </w:num>
  <w:num w:numId="20" w16cid:durableId="79838251">
    <w:abstractNumId w:val="5"/>
  </w:num>
  <w:num w:numId="21" w16cid:durableId="2435980">
    <w:abstractNumId w:val="4"/>
  </w:num>
  <w:num w:numId="22" w16cid:durableId="1953200667">
    <w:abstractNumId w:val="18"/>
  </w:num>
  <w:num w:numId="23" w16cid:durableId="2122602237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4847"/>
    <w:rsid w:val="000B24D9"/>
    <w:rsid w:val="000D22A5"/>
    <w:rsid w:val="000D7198"/>
    <w:rsid w:val="000D7CC4"/>
    <w:rsid w:val="000E691C"/>
    <w:rsid w:val="00103F06"/>
    <w:rsid w:val="00104C1B"/>
    <w:rsid w:val="0013039D"/>
    <w:rsid w:val="00135415"/>
    <w:rsid w:val="001567EF"/>
    <w:rsid w:val="00167441"/>
    <w:rsid w:val="00194A2B"/>
    <w:rsid w:val="001B1B5E"/>
    <w:rsid w:val="001B63E7"/>
    <w:rsid w:val="001F1DC8"/>
    <w:rsid w:val="00210AAE"/>
    <w:rsid w:val="00231D91"/>
    <w:rsid w:val="00231F27"/>
    <w:rsid w:val="00273D51"/>
    <w:rsid w:val="002750DE"/>
    <w:rsid w:val="0028489E"/>
    <w:rsid w:val="002961E2"/>
    <w:rsid w:val="002B25EE"/>
    <w:rsid w:val="002C2449"/>
    <w:rsid w:val="002D43DF"/>
    <w:rsid w:val="002E1B98"/>
    <w:rsid w:val="002E399B"/>
    <w:rsid w:val="002F6A9A"/>
    <w:rsid w:val="00310A7C"/>
    <w:rsid w:val="00314F2D"/>
    <w:rsid w:val="00342659"/>
    <w:rsid w:val="0038646B"/>
    <w:rsid w:val="004069CB"/>
    <w:rsid w:val="00412CB3"/>
    <w:rsid w:val="00414DB4"/>
    <w:rsid w:val="00420108"/>
    <w:rsid w:val="00445C34"/>
    <w:rsid w:val="004A6616"/>
    <w:rsid w:val="004B223B"/>
    <w:rsid w:val="004C5D55"/>
    <w:rsid w:val="004D39AA"/>
    <w:rsid w:val="004E6409"/>
    <w:rsid w:val="004F7283"/>
    <w:rsid w:val="00503D98"/>
    <w:rsid w:val="00576ED5"/>
    <w:rsid w:val="005860F0"/>
    <w:rsid w:val="005E3B21"/>
    <w:rsid w:val="005E6EAE"/>
    <w:rsid w:val="006A3382"/>
    <w:rsid w:val="006B04C9"/>
    <w:rsid w:val="006C765A"/>
    <w:rsid w:val="006D2485"/>
    <w:rsid w:val="00724190"/>
    <w:rsid w:val="00734D06"/>
    <w:rsid w:val="007D6C5A"/>
    <w:rsid w:val="007E23F0"/>
    <w:rsid w:val="007F27A2"/>
    <w:rsid w:val="008072A3"/>
    <w:rsid w:val="00831B2F"/>
    <w:rsid w:val="00843FE2"/>
    <w:rsid w:val="008638F1"/>
    <w:rsid w:val="00872046"/>
    <w:rsid w:val="008778E4"/>
    <w:rsid w:val="008A04E8"/>
    <w:rsid w:val="008A7D3C"/>
    <w:rsid w:val="008C03BC"/>
    <w:rsid w:val="008F4369"/>
    <w:rsid w:val="008F51B6"/>
    <w:rsid w:val="0090499A"/>
    <w:rsid w:val="00923E20"/>
    <w:rsid w:val="0093110D"/>
    <w:rsid w:val="00931FE4"/>
    <w:rsid w:val="0095314E"/>
    <w:rsid w:val="00965F6F"/>
    <w:rsid w:val="00970283"/>
    <w:rsid w:val="009F2E2E"/>
    <w:rsid w:val="009F3CCF"/>
    <w:rsid w:val="00A12852"/>
    <w:rsid w:val="00A3019F"/>
    <w:rsid w:val="00A6084A"/>
    <w:rsid w:val="00A83EAB"/>
    <w:rsid w:val="00A848B2"/>
    <w:rsid w:val="00A90C34"/>
    <w:rsid w:val="00AA53B8"/>
    <w:rsid w:val="00AA757C"/>
    <w:rsid w:val="00AB15EC"/>
    <w:rsid w:val="00B4140D"/>
    <w:rsid w:val="00B6149C"/>
    <w:rsid w:val="00B87277"/>
    <w:rsid w:val="00BB7770"/>
    <w:rsid w:val="00BC1FDE"/>
    <w:rsid w:val="00C02CD7"/>
    <w:rsid w:val="00C2107C"/>
    <w:rsid w:val="00C43982"/>
    <w:rsid w:val="00C43BC8"/>
    <w:rsid w:val="00C86F43"/>
    <w:rsid w:val="00C904AB"/>
    <w:rsid w:val="00C922DC"/>
    <w:rsid w:val="00CC64C3"/>
    <w:rsid w:val="00CD590B"/>
    <w:rsid w:val="00D206BC"/>
    <w:rsid w:val="00D45655"/>
    <w:rsid w:val="00D51D31"/>
    <w:rsid w:val="00D53D67"/>
    <w:rsid w:val="00D54402"/>
    <w:rsid w:val="00D64213"/>
    <w:rsid w:val="00D64B0C"/>
    <w:rsid w:val="00D85849"/>
    <w:rsid w:val="00DA1989"/>
    <w:rsid w:val="00DE2529"/>
    <w:rsid w:val="00DE412B"/>
    <w:rsid w:val="00E22981"/>
    <w:rsid w:val="00E54908"/>
    <w:rsid w:val="00EB1FEE"/>
    <w:rsid w:val="00ED4847"/>
    <w:rsid w:val="00F34746"/>
    <w:rsid w:val="00F415E7"/>
    <w:rsid w:val="00F74691"/>
    <w:rsid w:val="00FE1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43C73C8"/>
  <w15:chartTrackingRefBased/>
  <w15:docId w15:val="{CF0806F2-07DC-44B1-8778-CD4AFAAC7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CC64C3"/>
  </w:style>
  <w:style w:type="paragraph" w:styleId="Nadpis1">
    <w:name w:val="heading 1"/>
    <w:basedOn w:val="Nadpiskapitoly"/>
    <w:next w:val="Textnormy"/>
    <w:link w:val="Nadpis1Char"/>
    <w:qFormat/>
    <w:rsid w:val="00CC64C3"/>
    <w:pPr>
      <w:outlineLvl w:val="0"/>
    </w:pPr>
  </w:style>
  <w:style w:type="paragraph" w:styleId="Nadpis2">
    <w:name w:val="heading 2"/>
    <w:basedOn w:val="Nadpislnku"/>
    <w:next w:val="Textnormy"/>
    <w:qFormat/>
    <w:rsid w:val="00CC64C3"/>
    <w:pPr>
      <w:outlineLvl w:val="1"/>
    </w:pPr>
  </w:style>
  <w:style w:type="paragraph" w:styleId="Nadpis3">
    <w:name w:val="heading 3"/>
    <w:basedOn w:val="Nadpislnku"/>
    <w:next w:val="Textnormy"/>
    <w:qFormat/>
    <w:rsid w:val="00CC64C3"/>
    <w:pPr>
      <w:outlineLvl w:val="2"/>
    </w:pPr>
  </w:style>
  <w:style w:type="paragraph" w:styleId="Nadpis4">
    <w:name w:val="heading 4"/>
    <w:basedOn w:val="Nadpislnku"/>
    <w:next w:val="Textnormy"/>
    <w:qFormat/>
    <w:rsid w:val="00CC64C3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CC64C3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CC64C3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CC64C3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CC64C3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CC64C3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CC64C3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CC64C3"/>
  </w:style>
  <w:style w:type="paragraph" w:customStyle="1" w:styleId="Nadpiskapitoly">
    <w:name w:val="Nadpis kapitoly"/>
    <w:basedOn w:val="Nadpislnku"/>
    <w:next w:val="Textnormy"/>
    <w:rsid w:val="00CC64C3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CC64C3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CC64C3"/>
    <w:pPr>
      <w:spacing w:after="120"/>
      <w:jc w:val="both"/>
    </w:pPr>
  </w:style>
  <w:style w:type="paragraph" w:customStyle="1" w:styleId="1StrTrZn">
    <w:name w:val="1StrTrZn"/>
    <w:basedOn w:val="Textnormy"/>
    <w:rsid w:val="00CC64C3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CC64C3"/>
    <w:pPr>
      <w:spacing w:before="480"/>
    </w:pPr>
  </w:style>
  <w:style w:type="paragraph" w:customStyle="1" w:styleId="1StrNN-1-23">
    <w:name w:val="1StrNN-1-23"/>
    <w:basedOn w:val="Textnormy"/>
    <w:rsid w:val="00CC64C3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CC64C3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CC64C3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CC64C3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CC64C3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CC64C3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link w:val="PoznmkaChar"/>
    <w:rsid w:val="00CC64C3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CC64C3"/>
    <w:pPr>
      <w:spacing w:before="0" w:after="120"/>
      <w:ind w:left="284" w:hanging="284"/>
    </w:pPr>
  </w:style>
  <w:style w:type="paragraph" w:styleId="Zhlav">
    <w:name w:val="header"/>
    <w:basedOn w:val="Textnormy"/>
    <w:rsid w:val="00CC64C3"/>
    <w:pPr>
      <w:spacing w:after="360"/>
    </w:pPr>
    <w:rPr>
      <w:sz w:val="18"/>
    </w:rPr>
  </w:style>
  <w:style w:type="paragraph" w:styleId="Zpat">
    <w:name w:val="footer"/>
    <w:basedOn w:val="Textnormy"/>
    <w:rsid w:val="00CC64C3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CC64C3"/>
    <w:pPr>
      <w:spacing w:after="120"/>
    </w:pPr>
  </w:style>
  <w:style w:type="paragraph" w:styleId="Obsah2">
    <w:name w:val="toc 2"/>
    <w:basedOn w:val="Obsah1"/>
    <w:next w:val="Textnormy"/>
    <w:uiPriority w:val="39"/>
    <w:rsid w:val="00CC64C3"/>
  </w:style>
  <w:style w:type="paragraph" w:styleId="Obsah1">
    <w:name w:val="toc 1"/>
    <w:basedOn w:val="Textnormy"/>
    <w:next w:val="Textnormy"/>
    <w:uiPriority w:val="39"/>
    <w:rsid w:val="00CC64C3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CC64C3"/>
    <w:pPr>
      <w:numPr>
        <w:numId w:val="7"/>
      </w:numPr>
    </w:pPr>
  </w:style>
  <w:style w:type="paragraph" w:styleId="Obsah3">
    <w:name w:val="toc 3"/>
    <w:basedOn w:val="Obsah1"/>
    <w:next w:val="Textnormy"/>
    <w:rsid w:val="00CC64C3"/>
  </w:style>
  <w:style w:type="paragraph" w:styleId="Obsah4">
    <w:name w:val="toc 4"/>
    <w:basedOn w:val="Obsah1"/>
    <w:next w:val="Textnormy"/>
    <w:uiPriority w:val="39"/>
    <w:rsid w:val="00CC64C3"/>
  </w:style>
  <w:style w:type="paragraph" w:styleId="Obsah6">
    <w:name w:val="toc 6"/>
    <w:basedOn w:val="Obsah1"/>
    <w:next w:val="Textnormy"/>
    <w:rsid w:val="00CC64C3"/>
  </w:style>
  <w:style w:type="paragraph" w:styleId="Obsah7">
    <w:name w:val="toc 7"/>
    <w:basedOn w:val="Obsah1"/>
    <w:next w:val="Textnormy"/>
    <w:semiHidden/>
    <w:rsid w:val="00CC64C3"/>
  </w:style>
  <w:style w:type="paragraph" w:styleId="Obsah8">
    <w:name w:val="toc 8"/>
    <w:basedOn w:val="Obsah1"/>
    <w:next w:val="Textnormy"/>
    <w:semiHidden/>
    <w:rsid w:val="00CC64C3"/>
  </w:style>
  <w:style w:type="character" w:styleId="Znakapoznpodarou">
    <w:name w:val="footnote reference"/>
    <w:basedOn w:val="Standardnpsmoodstavce"/>
    <w:rsid w:val="00CC64C3"/>
    <w:rPr>
      <w:vertAlign w:val="superscript"/>
    </w:rPr>
  </w:style>
  <w:style w:type="paragraph" w:customStyle="1" w:styleId="ABCseznamCZ">
    <w:name w:val="ABC seznamCZ"/>
    <w:basedOn w:val="Textnormy"/>
    <w:rsid w:val="00CC64C3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CC64C3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CC64C3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CC64C3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2E1B98"/>
    <w:pPr>
      <w:keepNext w:val="0"/>
      <w:jc w:val="center"/>
    </w:pPr>
  </w:style>
  <w:style w:type="paragraph" w:customStyle="1" w:styleId="Abecednseznam">
    <w:name w:val="Abecední seznam"/>
    <w:basedOn w:val="Textnormy"/>
    <w:rsid w:val="00CC64C3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CC64C3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CC64C3"/>
    <w:pPr>
      <w:ind w:left="1600"/>
    </w:pPr>
  </w:style>
  <w:style w:type="paragraph" w:customStyle="1" w:styleId="1Str1Rad">
    <w:name w:val="1Str1Rad"/>
    <w:basedOn w:val="Textnormy"/>
    <w:rsid w:val="00CC64C3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CC64C3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CC64C3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CC64C3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CC64C3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CC64C3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CC64C3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CC64C3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CC64C3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CC64C3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CC64C3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CC64C3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CC64C3"/>
    <w:pPr>
      <w:spacing w:before="300"/>
    </w:pPr>
  </w:style>
  <w:style w:type="paragraph" w:customStyle="1" w:styleId="1StrNN-X">
    <w:name w:val="1StrNN-X"/>
    <w:basedOn w:val="1StrNN-1-23"/>
    <w:rsid w:val="00CC64C3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CC64C3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CC64C3"/>
    <w:pPr>
      <w:spacing w:before="800"/>
    </w:pPr>
  </w:style>
  <w:style w:type="paragraph" w:customStyle="1" w:styleId="1StrNN-2-4">
    <w:name w:val="1StrNN-2-4"/>
    <w:basedOn w:val="1StrNN-1-23"/>
    <w:rsid w:val="00CC64C3"/>
  </w:style>
  <w:style w:type="paragraph" w:customStyle="1" w:styleId="1StrNN-3-4">
    <w:name w:val="1StrNN-3-4"/>
    <w:basedOn w:val="1StrNN-1-23"/>
    <w:rsid w:val="00CC64C3"/>
    <w:pPr>
      <w:spacing w:before="460"/>
    </w:pPr>
  </w:style>
  <w:style w:type="paragraph" w:customStyle="1" w:styleId="1StrNN-4-4">
    <w:name w:val="1StrNN-4-4"/>
    <w:basedOn w:val="1StrNN-1-23"/>
    <w:rsid w:val="00CC64C3"/>
    <w:pPr>
      <w:spacing w:before="340"/>
    </w:pPr>
  </w:style>
  <w:style w:type="paragraph" w:customStyle="1" w:styleId="ABCSeznamUS">
    <w:name w:val="ABC SeznamUS"/>
    <w:basedOn w:val="Textnormy"/>
    <w:rsid w:val="00CC64C3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CC64C3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CC64C3"/>
    <w:pPr>
      <w:jc w:val="left"/>
    </w:pPr>
  </w:style>
  <w:style w:type="paragraph" w:customStyle="1" w:styleId="1StrNN-4-3">
    <w:name w:val="1StrNN-4-3"/>
    <w:basedOn w:val="1StrNN-1-23"/>
    <w:rsid w:val="00CC64C3"/>
    <w:pPr>
      <w:spacing w:before="160"/>
    </w:pPr>
  </w:style>
  <w:style w:type="paragraph" w:customStyle="1" w:styleId="Upozornn">
    <w:name w:val="Upozornění"/>
    <w:basedOn w:val="Normln"/>
    <w:rsid w:val="00CC64C3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CC64C3"/>
  </w:style>
  <w:style w:type="character" w:styleId="Hypertextovodkaz">
    <w:name w:val="Hyperlink"/>
    <w:unhideWhenUsed/>
    <w:rsid w:val="00CC64C3"/>
    <w:rPr>
      <w:color w:val="0000FF"/>
      <w:u w:val="single"/>
    </w:rPr>
  </w:style>
  <w:style w:type="table" w:styleId="Mkatabulky">
    <w:name w:val="Table Grid"/>
    <w:basedOn w:val="Normlntabulka"/>
    <w:rsid w:val="00CC64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CC64C3"/>
    <w:rPr>
      <w:b/>
      <w:sz w:val="24"/>
    </w:rPr>
  </w:style>
  <w:style w:type="character" w:styleId="Odkaznakoment">
    <w:name w:val="annotation reference"/>
    <w:basedOn w:val="Standardnpsmoodstavce"/>
    <w:unhideWhenUsed/>
    <w:rsid w:val="00CC64C3"/>
    <w:rPr>
      <w:sz w:val="16"/>
      <w:szCs w:val="16"/>
    </w:rPr>
  </w:style>
  <w:style w:type="paragraph" w:styleId="Textbubliny">
    <w:name w:val="Balloon Text"/>
    <w:basedOn w:val="Normln"/>
    <w:link w:val="TextbublinyChar"/>
    <w:rsid w:val="00CC64C3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2E1B98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CC64C3"/>
  </w:style>
  <w:style w:type="character" w:customStyle="1" w:styleId="TextkomenteChar">
    <w:name w:val="Text komentáře Char"/>
    <w:basedOn w:val="Standardnpsmoodstavce"/>
    <w:link w:val="Textkomente"/>
    <w:rsid w:val="00CC64C3"/>
  </w:style>
  <w:style w:type="character" w:customStyle="1" w:styleId="TextnormyCharChar">
    <w:name w:val="Text normy Char Char"/>
    <w:semiHidden/>
    <w:rsid w:val="00CC64C3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CC64C3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C64C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C64C3"/>
    <w:rPr>
      <w:b/>
      <w:bCs/>
    </w:rPr>
  </w:style>
  <w:style w:type="character" w:customStyle="1" w:styleId="NadpislnkuChar">
    <w:name w:val="Nadpis článku Char"/>
    <w:link w:val="Nadpislnku"/>
    <w:rsid w:val="00CC64C3"/>
    <w:rPr>
      <w:b/>
    </w:rPr>
  </w:style>
  <w:style w:type="character" w:styleId="Sledovanodkaz">
    <w:name w:val="FollowedHyperlink"/>
    <w:basedOn w:val="Standardnpsmoodstavce"/>
    <w:semiHidden/>
    <w:unhideWhenUsed/>
    <w:rsid w:val="00CC64C3"/>
    <w:rPr>
      <w:color w:val="954F72" w:themeColor="followedHyperlink"/>
      <w:u w:val="single"/>
    </w:rPr>
  </w:style>
  <w:style w:type="character" w:customStyle="1" w:styleId="PoznmkaChar">
    <w:name w:val="Poznámka Char"/>
    <w:link w:val="Poznmka"/>
    <w:rsid w:val="00ED4847"/>
    <w:rPr>
      <w:sz w:val="18"/>
    </w:rPr>
  </w:style>
  <w:style w:type="paragraph" w:styleId="Revize">
    <w:name w:val="Revision"/>
    <w:hidden/>
    <w:uiPriority w:val="99"/>
    <w:semiHidden/>
    <w:rsid w:val="00D64B0C"/>
  </w:style>
  <w:style w:type="paragraph" w:customStyle="1" w:styleId="NadpisObr">
    <w:name w:val="NadpisObr"/>
    <w:basedOn w:val="Nadpis4"/>
    <w:next w:val="Textnormy"/>
    <w:qFormat/>
    <w:rsid w:val="00CC64C3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CC64C3"/>
    <w:pPr>
      <w:jc w:val="center"/>
    </w:pPr>
  </w:style>
  <w:style w:type="character" w:customStyle="1" w:styleId="cf01">
    <w:name w:val="cf01"/>
    <w:basedOn w:val="Standardnpsmoodstavce"/>
    <w:rsid w:val="00CC64C3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4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agenturacas.gov.cz/" TargetMode="Externa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footer" Target="foot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eshop.agentura-cas.cz/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4</TotalTime>
  <Pages>4</Pages>
  <Words>650</Words>
  <Characters>3835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4477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7</cp:revision>
  <cp:lastPrinted>2004-12-14T08:45:00Z</cp:lastPrinted>
  <dcterms:created xsi:type="dcterms:W3CDTF">2024-08-19T08:39:00Z</dcterms:created>
  <dcterms:modified xsi:type="dcterms:W3CDTF">2025-02-04T08:45:00Z</dcterms:modified>
</cp:coreProperties>
</file>